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embeddings/oleObject7.bin" ContentType="application/vnd.openxmlformats-officedocument.oleObject"/>
  <Override PartName="/word/embeddings/oleObject6.bin" ContentType="application/vnd.openxmlformats-officedocument.oleObject"/>
  <Override PartName="/word/embeddings/oleObject5.bin" ContentType="application/vnd.openxmlformats-officedocument.oleObject"/>
  <Override PartName="/word/embeddings/oleObject19.bin" ContentType="application/vnd.openxmlformats-officedocument.oleObject"/>
  <Override PartName="/word/embeddings/oleObject21.bin" ContentType="application/vnd.openxmlformats-officedocument.oleObject"/>
  <Override PartName="/word/embeddings/oleObject4.bin" ContentType="application/vnd.openxmlformats-officedocument.oleObject"/>
  <Override PartName="/word/embeddings/oleObject18.bin" ContentType="application/vnd.openxmlformats-officedocument.oleObject"/>
  <Override PartName="/word/embeddings/oleObject20.bin" ContentType="application/vnd.openxmlformats-officedocument.oleObject"/>
  <Override PartName="/word/embeddings/oleObject27.bin" ContentType="application/vnd.openxmlformats-officedocument.oleObject"/>
  <Override PartName="/word/embeddings/oleObject14.bin" ContentType="application/vnd.openxmlformats-officedocument.oleObject"/>
  <Override PartName="/word/embeddings/oleObject26.bin" ContentType="application/vnd.openxmlformats-officedocument.oleObject"/>
  <Override PartName="/word/embeddings/oleObject25.bin" ContentType="application/vnd.openxmlformats-officedocument.oleObject"/>
  <Override PartName="/word/embeddings/oleObject24.bin" ContentType="application/vnd.openxmlformats-officedocument.oleObject"/>
  <Override PartName="/word/embeddings/oleObject23.bin" ContentType="application/vnd.openxmlformats-officedocument.oleObject"/>
  <Override PartName="/word/embeddings/oleObject22.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16.bin" ContentType="application/vnd.openxmlformats-officedocument.oleObject"/>
  <Override PartName="/word/embeddings/oleObject2.bin" ContentType="application/vnd.openxmlformats-officedocument.oleObject"/>
  <Override PartName="/word/embeddings/oleObject17.bin" ContentType="application/vnd.openxmlformats-officedocument.oleObject"/>
  <Override PartName="/word/embeddings/oleObject3.bin" ContentType="application/vnd.openxmlformats-officedocument.oleObject"/>
  <Override PartName="/word/media/image9.wmf" ContentType="image/x-wmf"/>
  <Override PartName="/word/media/image13.wmf" ContentType="image/x-wmf"/>
  <Override PartName="/word/media/image8.wmf" ContentType="image/x-wmf"/>
  <Override PartName="/word/media/image12.wmf" ContentType="image/x-wmf"/>
  <Override PartName="/word/media/image7.wmf" ContentType="image/x-wmf"/>
  <Override PartName="/word/media/image11.wmf" ContentType="image/x-wmf"/>
  <Override PartName="/word/media/image6.wmf" ContentType="image/x-wmf"/>
  <Override PartName="/word/media/image10.wmf" ContentType="image/x-wmf"/>
  <Override PartName="/word/media/image5.wmf" ContentType="image/x-wmf"/>
  <Override PartName="/word/media/image4.wmf" ContentType="image/x-wmf"/>
  <Override PartName="/word/media/image27.wmf" ContentType="image/x-wmf"/>
  <Override PartName="/word/media/image3.wmf" ContentType="image/x-wmf"/>
  <Override PartName="/word/media/image26.wmf" ContentType="image/x-wmf"/>
  <Override PartName="/word/media/image23.wmf" ContentType="image/x-wmf"/>
  <Override PartName="/word/media/image22.wmf" ContentType="image/x-wmf"/>
  <Override PartName="/word/media/image21.wmf" ContentType="image/x-wmf"/>
  <Override PartName="/word/media/image19.wmf" ContentType="image/x-wmf"/>
  <Override PartName="/word/media/image20.wmf" ContentType="image/x-wmf"/>
  <Override PartName="/word/media/image18.wmf" ContentType="image/x-wmf"/>
  <Override PartName="/word/media/image17.wmf" ContentType="image/x-wmf"/>
  <Override PartName="/word/media/image16.wmf" ContentType="image/x-wmf"/>
  <Override PartName="/word/media/image15.wmf" ContentType="image/x-wmf"/>
  <Override PartName="/word/media/image14.wmf" ContentType="image/x-wmf"/>
  <Override PartName="/word/media/image1.wmf" ContentType="image/x-wmf"/>
  <Override PartName="/word/media/image24.wmf" ContentType="image/x-wmf"/>
  <Override PartName="/word/media/image2.wmf" ContentType="image/x-wmf"/>
  <Override PartName="/word/media/image25.wmf" ContentType="image/x-wmf"/>
  <Override PartName="/word/styles.xml" ContentType="application/vnd.openxmlformats-officedocument.wordprocessingml.styles+xml"/>
  <Override PartName="/word/theme/theme1.xml" ContentType="application/vnd.openxmlformats-officedocument.theme+xml"/>
  <Override PartName="/word/footnotes.xml" ContentType="application/vnd.openxmlformats-officedocument.wordprocessingml.footnotes+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pBdr/>
        <w:shd w:val="clear" w:fill="auto"/>
        <w:spacing w:lineRule="auto" w:line="276" w:before="0" w:after="0"/>
        <w:ind w:left="0" w:right="0" w:hanging="0"/>
        <w:jc w:val="left"/>
        <w:rPr/>
      </w:pPr>
      <w:r>
        <w:rPr/>
      </w:r>
    </w:p>
    <w:p>
      <w:pPr>
        <w:pStyle w:val="Normal1"/>
        <w:spacing w:lineRule="auto" w:line="3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Extreme linkages in the defense and aerospace industry</w:t>
      </w:r>
    </w:p>
    <w:p>
      <w:pPr>
        <w:pStyle w:val="Normal1"/>
        <w:spacing w:lineRule="auto" w:line="3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Abstract</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Using quantile-based models, we study the system of return and volatility spillovers among 21 global defense and aerospace companies covering six countries (US, UK, France, Germany, China, Singapore) and three continents (North America, Europe, and Asia) over the period 23 August 2010 – July 1, 2022. The results are summarized as follows. Firstly, both return and volatility spillover measures fluctuate with time, and especially those estimated at the middle quantiles tend to intensity during crisis periods such as the COVID-19 outbreak. Secondly, there is evidence of intensified spillover effects for return shocks at both lower and upper quantiles, exceeding the return spillover estimated at the middle quantile, i.e. around normal market conditions. Thirdly, the level of spillovers at the lower quantile in the return system is considerably larger than that in the volatility system. However, the level of volatility spillover is extremely high at the upper quantile only, and exhibits low variability. Fourthly, Raytheon Technologies plays an important to the system of return spillovers during normal and bull market conditions, whereas Lockheed Martin plays the same role during the bear market condition. For the system of volatility shocks, General Dynamics is a major net transmitter during the middle volatility state, whereas Raytheon Technologies is a major net transmitter during both low and high volatility states. These results have implications for investors concerned with the management of their stock portfolio under various market conditions and policymakers seeking to design policies under normal and volatile market mechanisms. </w:t>
      </w:r>
    </w:p>
    <w:p>
      <w:pPr>
        <w:pStyle w:val="Normal1"/>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Keywords: </w:t>
      </w:r>
      <w:r>
        <w:rPr>
          <w:rFonts w:eastAsia="Times New Roman" w:cs="Times New Roman" w:ascii="Times New Roman" w:hAnsi="Times New Roman"/>
          <w:sz w:val="24"/>
          <w:szCs w:val="24"/>
        </w:rPr>
        <w:t>Defense and aerospace companies; Ukrainian war; Russia; quantile vector-autoregression; COVID-19.</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1. Introduction</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On 24th February 2022 Russia invaded Ukraine, initiating a war that has led to wide scale devastation, the consequences of which will last far into the future. While the humanitarian effects are almost incomprehensible this event has also substantially impacted financial markets, the global economy, energy prices and the fortunes of defense companies.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 Literature</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t>McDonald and Kendall (1994) analyse the effects of war on the U.S. defense industry, focussing on 16 firms that provided military equipment to the Department of Defense. Applying a cumulative prediction error (CPE) technique they find that defense firm stock prices tend to increase as a result of military actions.</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sz w:val="24"/>
          <w:szCs w:val="24"/>
        </w:rPr>
        <w:t xml:space="preserve">Federle et al. (2022) analyse stock market responses to the war in Ukraine, finding that those firms located closer to Ukraine suffered from a ‘proximity penalty’, experiencing more negative equity returns during the four-weeks surrounding the beginning of the war. </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 Data and methodology</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2.1. Data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Our dataset comprises the daily closing prices of 21 global defense and aerospace companies belonging to six countries (US, UK, France, Germany, China, Singapore) and three continents (North America, Europe, and Asia). The selected companies are chosen to be large and liquid, with an individual market capitalization exceeding nine billion USD. The list of 21 companies is provided in Appendix Table A.1., whereas the plot of their price levels are shown in Figure A.1. The sample period is 23 August 2010 – July 1, 2022, as dictated by the price availability, especially for the Chinese AECC AVIATION POWER 'A', which mostly exhibited zero daily fluctuations before 23 August 2010.</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Based on daily prices, we calculate daily log-returns, and then compute daily volatility as the squared of daily returns.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summary statistics of daily returns and volatility series are presented in Tables 1a and 1b, respectively. </w:t>
      </w:r>
    </w:p>
    <w:p>
      <w:pPr>
        <w:pStyle w:val="Normal1"/>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time plots of daily returns and volatility are shown in Figures 1a and 1b, respectively. </w:t>
      </w:r>
    </w:p>
    <w:p>
      <w:pPr>
        <w:pStyle w:val="Normal1"/>
        <w:spacing w:lineRule="auto" w:line="360"/>
        <w:jc w:val="both"/>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2.2. Methodology</w:t>
      </w:r>
      <w:bookmarkStart w:id="0" w:name="bookmark=id.gjdgxs"/>
    </w:p>
    <w:p>
      <w:pPr>
        <w:pStyle w:val="Normal1"/>
        <w:spacing w:lineRule="auto" w:line="360" w:before="0" w:after="0"/>
        <w:jc w:val="both"/>
        <w:rPr>
          <w:sz w:val="24"/>
          <w:szCs w:val="24"/>
        </w:rPr>
      </w:pPr>
      <w:bookmarkEnd w:id="0"/>
      <w:r>
        <w:rPr>
          <w:sz w:val="24"/>
          <w:szCs w:val="24"/>
        </w:rPr>
        <w:t>To study the return and volatility connectedness across 12 global defense and aerospace firms, we use the quantile-VAR-based connectedness approach introduced by Ando et al. (2022)</w:t>
      </w:r>
      <w:r>
        <w:rPr>
          <w:rStyle w:val="FootnoteAnchor"/>
          <w:sz w:val="24"/>
          <w:szCs w:val="24"/>
          <w:vertAlign w:val="superscript"/>
        </w:rPr>
        <w:footnoteReference w:id="2"/>
      </w:r>
      <w:r>
        <w:rPr>
          <w:sz w:val="24"/>
          <w:szCs w:val="24"/>
        </w:rPr>
        <w:t xml:space="preserve">. This approach extends the mean-based connectedness framework of Diebold and Yilmaz (2014) and thus allows for capturing extreme connectedness measures estimated at the lower, middle, and upper quantiles. For returns, this allows for capturing the connectedness of return shocks in bear, normal, and bull periods. For volatility, we capture connectedness of volatility shocks in low, middle, and high volatility states.  </w:t>
      </w:r>
    </w:p>
    <w:p>
      <w:pPr>
        <w:pStyle w:val="Normal1"/>
        <w:spacing w:lineRule="auto" w:line="360" w:before="0" w:after="0"/>
        <w:jc w:val="both"/>
        <w:rPr>
          <w:sz w:val="24"/>
          <w:szCs w:val="24"/>
        </w:rPr>
      </w:pPr>
      <w:r>
        <w:rPr>
          <w:sz w:val="24"/>
          <w:szCs w:val="24"/>
        </w:rPr>
      </w:r>
    </w:p>
    <w:p>
      <w:pPr>
        <w:pStyle w:val="Normal1"/>
        <w:spacing w:lineRule="auto" w:line="360" w:before="0" w:after="0"/>
        <w:jc w:val="both"/>
        <w:rPr>
          <w:rFonts w:ascii="Times New Roman" w:hAnsi="Times New Roman" w:eastAsia="Times New Roman" w:cs="Times New Roman"/>
          <w:sz w:val="24"/>
          <w:szCs w:val="24"/>
        </w:rPr>
      </w:pPr>
      <w:r>
        <w:rPr>
          <w:sz w:val="24"/>
          <w:szCs w:val="24"/>
        </w:rPr>
        <w:t>Based on a quantile regression (Koenker, 2005), w</w:t>
      </w:r>
      <w:r>
        <w:rPr>
          <w:rFonts w:eastAsia="Times New Roman" w:cs="Times New Roman" w:ascii="Times New Roman" w:hAnsi="Times New Roman"/>
          <w:sz w:val="24"/>
          <w:szCs w:val="24"/>
        </w:rPr>
        <w:t xml:space="preserve">e consider a quantile-VAR </w:t>
      </w:r>
      <w:r>
        <w:rPr>
          <w:sz w:val="24"/>
          <w:szCs w:val="24"/>
        </w:rPr>
        <w:t xml:space="preserve">process of </w:t>
      </w:r>
      <w:r>
        <w:rPr>
          <w:i/>
          <w:sz w:val="24"/>
          <w:szCs w:val="24"/>
        </w:rPr>
        <w:t>p</w:t>
      </w:r>
      <w:r>
        <w:rPr>
          <w:sz w:val="24"/>
          <w:szCs w:val="24"/>
        </w:rPr>
        <w:t xml:space="preserve">th order </w:t>
      </w:r>
      <w:r>
        <w:rPr>
          <w:rFonts w:eastAsia="Times New Roman" w:cs="Times New Roman" w:ascii="Times New Roman" w:hAnsi="Times New Roman"/>
          <w:sz w:val="24"/>
          <w:szCs w:val="24"/>
        </w:rPr>
        <w:t xml:space="preserve">for a set of </w:t>
      </w:r>
      <w:r>
        <w:rPr/>
      </w:r>
      <m:oMath xmlns:m="http://schemas.openxmlformats.org/officeDocument/2006/math">
        <m:r>
          <w:rPr>
            <w:rFonts w:ascii="Cambria Math" w:hAnsi="Cambria Math"/>
          </w:rPr>
          <m:t xml:space="preserve">21</m:t>
        </m:r>
      </m:oMath>
      <w:r>
        <w:rPr>
          <w:rFonts w:eastAsia="Times New Roman" w:cs="Times New Roman" w:ascii="Times New Roman" w:hAnsi="Times New Roman"/>
          <w:sz w:val="24"/>
          <w:szCs w:val="24"/>
        </w:rPr>
        <w:t xml:space="preserve"> return (volatility) series,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p>
          <m:e>
            <m:d>
              <m:dPr>
                <m:begChr m:val="("/>
                <m:endChr m:val=")"/>
              </m:dPr>
              <m:e>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21</m:t>
                    </m:r>
                  </m:sub>
                </m:sSub>
              </m:e>
            </m:d>
          </m:e>
          <m:sup>
            <m:r>
              <w:rPr>
                <w:rFonts w:ascii="Cambria Math" w:hAnsi="Cambria Math"/>
              </w:rPr>
              <m:t xml:space="preserve">'</m:t>
            </m:r>
          </m:sup>
        </m:sSup>
      </m:oMath>
      <w:r>
        <w:rPr>
          <w:rFonts w:eastAsia="Times New Roman" w:cs="Times New Roman" w:ascii="Times New Roman" w:hAnsi="Times New Roman"/>
          <w:sz w:val="24"/>
          <w:szCs w:val="24"/>
        </w:rPr>
        <w:t xml:space="preserve">, as </w:t>
      </w:r>
      <w:r>
        <w:rPr>
          <w:sz w:val="24"/>
          <w:szCs w:val="24"/>
        </w:rPr>
        <w:t>given by:</w:t>
      </w:r>
    </w:p>
    <w:p>
      <w:pPr>
        <w:pStyle w:val="Normal1"/>
        <w:spacing w:lineRule="auto" w:line="360" w:before="280" w:after="280"/>
        <w:jc w:val="both"/>
        <w:rPr>
          <w:sz w:val="24"/>
          <w:szCs w:val="24"/>
        </w:rPr>
      </w:pPr>
      <w:r>
        <w:rPr/>
      </w:r>
      <m:oMath xmlns:m="http://schemas.openxmlformats.org/officeDocument/2006/math">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τ</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p</m:t>
            </m:r>
          </m:sup>
          <m:e>
            <m:sSub>
              <m:e>
                <m:r>
                  <w:rPr>
                    <w:rFonts w:ascii="Cambria Math" w:hAnsi="Cambria Math"/>
                  </w:rPr>
                  <m:t xml:space="preserve">B</m:t>
                </m:r>
              </m:e>
              <m:sub>
                <m:r>
                  <w:rPr>
                    <w:rFonts w:ascii="Cambria Math" w:hAnsi="Cambria Math"/>
                  </w:rPr>
                  <m:t xml:space="preserve">i</m:t>
                </m:r>
              </m:sub>
            </m:sSub>
            <m:d>
              <m:dPr>
                <m:begChr m:val="("/>
                <m:endChr m:val=")"/>
              </m:dPr>
              <m:e>
                <m:r>
                  <w:rPr>
                    <w:rFonts w:ascii="Cambria Math" w:hAnsi="Cambria Math"/>
                  </w:rPr>
                  <m:t xml:space="preserve">τ</m:t>
                </m:r>
              </m:e>
            </m:d>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i</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t</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T</m:t>
            </m:r>
          </m:e>
        </m:nary>
      </m:oMath>
      <w:r>
        <w:rPr>
          <w:sz w:val="24"/>
          <w:szCs w:val="24"/>
        </w:rPr>
        <w:t xml:space="preserve">                                                                      </w:t>
      </w:r>
      <w:r>
        <w:rPr>
          <w:sz w:val="24"/>
          <w:szCs w:val="24"/>
        </w:rPr>
        <w:t xml:space="preserve">(1)               </w:t>
      </w:r>
    </w:p>
    <w:p>
      <w:pPr>
        <w:pStyle w:val="Normal1"/>
        <w:spacing w:lineRule="auto" w:line="360" w:before="0" w:after="0"/>
        <w:jc w:val="both"/>
        <w:rPr>
          <w:sz w:val="24"/>
          <w:szCs w:val="24"/>
        </w:rPr>
      </w:pPr>
      <w:r>
        <w:rPr>
          <w:sz w:val="24"/>
          <w:szCs w:val="24"/>
        </w:rPr>
        <w:t xml:space="preserve">where, </w:t>
      </w: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τ</m:t>
            </m:r>
          </m:e>
        </m:d>
      </m:oMath>
      <w:r>
        <w:rPr>
          <w:sz w:val="24"/>
          <w:szCs w:val="24"/>
        </w:rPr>
        <w:t xml:space="preserve"> denotes a vector of constant terms at quantile τ, </w:t>
      </w:r>
      <w:r>
        <w:rPr/>
      </w:r>
      <m:oMath xmlns:m="http://schemas.openxmlformats.org/officeDocument/2006/math">
        <m:sSub>
          <m:e>
            <m:r>
              <w:rPr>
                <w:rFonts w:ascii="Cambria Math" w:hAnsi="Cambria Math"/>
              </w:rPr>
              <m:t xml:space="preserve">B</m:t>
            </m:r>
          </m:e>
          <m:sub>
            <m:r>
              <w:rPr>
                <w:rFonts w:ascii="Cambria Math" w:hAnsi="Cambria Math"/>
              </w:rPr>
              <m:t xml:space="preserve">i</m:t>
            </m:r>
          </m:sub>
        </m:sSub>
        <m:d>
          <m:dPr>
            <m:begChr m:val="("/>
            <m:endChr m:val=")"/>
          </m:dPr>
          <m:e>
            <m:r>
              <w:rPr>
                <w:rFonts w:ascii="Cambria Math" w:hAnsi="Cambria Math"/>
              </w:rPr>
              <m:t xml:space="preserve">τ</m:t>
            </m:r>
          </m:e>
        </m:d>
      </m:oMath>
      <w:r>
        <w:rPr>
          <w:sz w:val="24"/>
          <w:szCs w:val="24"/>
        </w:rPr>
        <w:t xml:space="preserve"> represents the matrix of lagged coefficients of the dependent variable at quantile τ, with </w:t>
      </w:r>
      <w:r>
        <w:rPr>
          <w:i/>
          <w:sz w:val="24"/>
          <w:szCs w:val="24"/>
        </w:rPr>
        <w:t>i</w:t>
      </w:r>
      <w:r>
        <w:rPr>
          <w:sz w:val="24"/>
          <w:szCs w:val="24"/>
        </w:rPr>
        <w:t xml:space="preserve"> =1,..., p, and </w:t>
      </w:r>
      <w:r>
        <w:rPr/>
      </w:r>
      <m:oMath xmlns:m="http://schemas.openxmlformats.org/officeDocument/2006/math">
        <m:sSub>
          <m:e>
            <m:r>
              <w:rPr>
                <w:rFonts w:ascii="Cambria Math" w:hAnsi="Cambria Math"/>
              </w:rPr>
              <m:t xml:space="preserve">e</m:t>
            </m:r>
          </m:e>
          <m:sub>
            <m:r>
              <w:rPr>
                <w:rFonts w:ascii="Cambria Math" w:hAnsi="Cambria Math"/>
              </w:rPr>
              <m:t xml:space="preserve">t</m:t>
            </m:r>
          </m:sub>
        </m:sSub>
        <m:d>
          <m:dPr>
            <m:begChr m:val="("/>
            <m:endChr m:val=")"/>
          </m:dPr>
          <m:e>
            <m:r>
              <w:rPr>
                <w:rFonts w:ascii="Cambria Math" w:hAnsi="Cambria Math"/>
              </w:rPr>
              <m:t xml:space="preserve">τ</m:t>
            </m:r>
          </m:e>
        </m:d>
      </m:oMath>
      <w:r>
        <w:rPr>
          <w:sz w:val="24"/>
          <w:szCs w:val="24"/>
        </w:rPr>
        <w:t xml:space="preserve"> denotes a vector of error terms at quantile τ. </w:t>
      </w:r>
      <w:r>
        <w:rPr/>
      </w:r>
      <m:oMath xmlns:m="http://schemas.openxmlformats.org/officeDocument/2006/math">
        <m:sSub>
          <m:e>
            <m:acc>
              <m:accPr>
                <m:chr m:val="^"/>
              </m:accPr>
              <m:e>
                <m:r>
                  <w:rPr>
                    <w:rFonts w:ascii="Cambria Math" w:hAnsi="Cambria Math"/>
                  </w:rPr>
                  <m:t xml:space="preserve">B</m:t>
                </m:r>
              </m:e>
            </m:acc>
          </m:e>
          <m:sub>
            <m:r>
              <w:rPr>
                <w:rFonts w:ascii="Cambria Math" w:hAnsi="Cambria Math"/>
              </w:rPr>
              <m:t xml:space="preserve">i</m:t>
            </m:r>
          </m:sub>
        </m:sSub>
        <m:d>
          <m:dPr>
            <m:begChr m:val="("/>
            <m:endChr m:val=")"/>
          </m:dPr>
          <m:e>
            <m:r>
              <w:rPr>
                <w:rFonts w:ascii="Cambria Math" w:hAnsi="Cambria Math"/>
              </w:rPr>
              <m:t xml:space="preserve">τ</m:t>
            </m:r>
          </m:e>
        </m:d>
      </m:oMath>
      <w:r>
        <w:rPr>
          <w:sz w:val="24"/>
          <w:szCs w:val="24"/>
        </w:rPr>
        <w:t xml:space="preserve"> and </w:t>
      </w:r>
      <w:r>
        <w:rPr/>
      </w:r>
      <m:oMath xmlns:m="http://schemas.openxmlformats.org/officeDocument/2006/math">
        <m:acc>
          <m:accPr>
            <m:chr m:val="^"/>
          </m:accPr>
          <m:e>
            <m:r>
              <w:rPr>
                <w:rFonts w:ascii="Cambria Math" w:hAnsi="Cambria Math"/>
              </w:rPr>
              <m:t xml:space="preserve">c</m:t>
            </m:r>
          </m:e>
        </m:acc>
        <m:d>
          <m:dPr>
            <m:begChr m:val="("/>
            <m:endChr m:val=")"/>
          </m:dPr>
          <m:e>
            <m:r>
              <w:rPr>
                <w:rFonts w:ascii="Cambria Math" w:hAnsi="Cambria Math"/>
              </w:rPr>
              <m:t xml:space="preserve">τ</m:t>
            </m:r>
          </m:e>
        </m:d>
      </m:oMath>
      <w:r>
        <w:rPr>
          <w:sz w:val="24"/>
          <w:szCs w:val="24"/>
        </w:rPr>
        <w:t xml:space="preserve"> are estimated by assuming that the error terms conform to the population quantile restriction, </w:t>
      </w:r>
      <w:r>
        <w:rPr/>
      </w:r>
      <m:oMath xmlns:m="http://schemas.openxmlformats.org/officeDocument/2006/math">
        <m:sSub>
          <m:e>
            <m:r>
              <w:rPr>
                <w:rFonts w:ascii="Cambria Math" w:hAnsi="Cambria Math"/>
              </w:rPr>
              <m:t xml:space="preserve">Q</m:t>
            </m:r>
          </m:e>
          <m:sub>
            <m:r>
              <w:rPr>
                <w:rFonts w:ascii="Cambria Math" w:hAnsi="Cambria Math"/>
              </w:rPr>
              <m:t xml:space="preserve">τ</m:t>
            </m:r>
          </m:sub>
        </m:sSub>
        <m:d>
          <m:dPr>
            <m:begChr m:val="("/>
            <m:endChr m:val=")"/>
          </m:dPr>
          <m:e>
            <m:sSub>
              <m:e>
                <m:r>
                  <w:rPr>
                    <w:rFonts w:ascii="Cambria Math" w:hAnsi="Cambria Math"/>
                  </w:rPr>
                  <m:t xml:space="preserve">e</m:t>
                </m:r>
              </m:e>
              <m:sub>
                <m:r>
                  <w:rPr>
                    <w:rFonts w:ascii="Cambria Math" w:hAnsi="Cambria Math"/>
                  </w:rPr>
                  <m:t xml:space="preserve">t</m:t>
                </m:r>
              </m:sub>
            </m:sSub>
            <m:d>
              <m:dPr>
                <m:begChr m:val="("/>
                <m:endChr m:val=")"/>
              </m:dPr>
              <m:e>
                <m:r>
                  <w:rPr>
                    <w:rFonts w:ascii="Cambria Math" w:hAnsi="Cambria Math"/>
                  </w:rPr>
                  <m:t xml:space="preserve">τ</m:t>
                </m:r>
              </m:e>
            </m:d>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p</m:t>
                </m:r>
              </m:sub>
            </m:sSub>
          </m:e>
        </m:d>
        <m:r>
          <w:rPr>
            <w:rFonts w:ascii="Cambria Math" w:hAnsi="Cambria Math"/>
          </w:rPr>
          <m:t xml:space="preserve">=</m:t>
        </m:r>
        <m:r>
          <w:rPr>
            <w:rFonts w:ascii="Cambria Math" w:hAnsi="Cambria Math"/>
          </w:rPr>
          <m:t xml:space="preserve">0</m:t>
        </m:r>
      </m:oMath>
      <w:r>
        <w:rPr>
          <w:sz w:val="24"/>
          <w:szCs w:val="24"/>
        </w:rPr>
        <w:t xml:space="preserve">. </w:t>
      </w:r>
    </w:p>
    <w:p>
      <w:pPr>
        <w:pStyle w:val="Normal1"/>
        <w:spacing w:lineRule="auto" w:line="360" w:before="0" w:after="0"/>
        <w:jc w:val="both"/>
        <w:rPr>
          <w:sz w:val="24"/>
          <w:szCs w:val="24"/>
        </w:rPr>
      </w:pPr>
      <w:r>
        <w:rPr>
          <w:sz w:val="24"/>
          <w:szCs w:val="24"/>
        </w:rPr>
        <w:t xml:space="preserve">We express the </w:t>
      </w:r>
      <w:r>
        <w:rPr>
          <w:i/>
          <w:sz w:val="24"/>
          <w:szCs w:val="24"/>
        </w:rPr>
        <w:t>τ</w:t>
      </w:r>
      <w:r>
        <w:rPr>
          <w:sz w:val="24"/>
          <w:szCs w:val="24"/>
        </w:rPr>
        <w:t xml:space="preserve">th conditional quantile of response </w:t>
      </w:r>
      <w:r>
        <w:rPr>
          <w:i/>
          <w:sz w:val="24"/>
          <w:szCs w:val="24"/>
        </w:rPr>
        <w:t>y</w:t>
      </w:r>
      <w:r>
        <w:rPr>
          <w:sz w:val="24"/>
          <w:szCs w:val="24"/>
        </w:rPr>
        <w:t xml:space="preserve"> as: </w:t>
      </w:r>
    </w:p>
    <w:p>
      <w:pPr>
        <w:pStyle w:val="Normal1"/>
        <w:spacing w:lineRule="auto" w:line="360" w:before="280" w:after="280"/>
        <w:jc w:val="both"/>
        <w:rPr>
          <w:sz w:val="24"/>
          <w:szCs w:val="24"/>
        </w:rPr>
      </w:pPr>
      <w:r>
        <w:rPr/>
      </w:r>
      <m:oMath xmlns:m="http://schemas.openxmlformats.org/officeDocument/2006/math">
        <m:sSub>
          <m:e>
            <m:r>
              <w:rPr>
                <w:rFonts w:ascii="Cambria Math" w:hAnsi="Cambria Math"/>
              </w:rPr>
              <m:t xml:space="preserve">Q</m:t>
            </m:r>
          </m:e>
          <m:sub>
            <m:r>
              <w:rPr>
                <w:rFonts w:ascii="Cambria Math" w:hAnsi="Cambria Math"/>
              </w:rPr>
              <m:t xml:space="preserve">τ</m:t>
            </m:r>
          </m:sub>
        </m:sSub>
        <m:d>
          <m:dPr>
            <m:begChr m:val="("/>
            <m:endChr m:val=")"/>
          </m:dPr>
          <m:e>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p</m:t>
                </m:r>
              </m:sub>
            </m:sSub>
          </m:e>
        </m:d>
        <m:r>
          <w:rPr>
            <w:rFonts w:ascii="Cambria Math" w:hAnsi="Cambria Math"/>
          </w:rPr>
          <m:t xml:space="preserve">=</m:t>
        </m:r>
        <m:r>
          <w:rPr>
            <w:rFonts w:ascii="Cambria Math" w:hAnsi="Cambria Math"/>
          </w:rPr>
          <m:t xml:space="preserve">c</m:t>
        </m:r>
        <m:d>
          <m:dPr>
            <m:begChr m:val="("/>
            <m:endChr m:val=")"/>
          </m:dPr>
          <m:e>
            <m:r>
              <w:rPr>
                <w:rFonts w:ascii="Cambria Math" w:hAnsi="Cambria Math"/>
              </w:rPr>
              <m:t xml:space="preserve">τ</m:t>
            </m:r>
          </m:e>
        </m:d>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p</m:t>
            </m:r>
          </m:sup>
          <m:e>
            <m:sSub>
              <m:e>
                <m:acc>
                  <m:accPr>
                    <m:chr m:val="^"/>
                  </m:accPr>
                  <m:e>
                    <m:r>
                      <w:rPr>
                        <w:rFonts w:ascii="Cambria Math" w:hAnsi="Cambria Math"/>
                      </w:rPr>
                      <m:t xml:space="preserve">B</m:t>
                    </m:r>
                  </m:e>
                </m:acc>
              </m:e>
              <m:sub>
                <m:r>
                  <w:rPr>
                    <w:rFonts w:ascii="Cambria Math" w:hAnsi="Cambria Math"/>
                  </w:rPr>
                  <m:t xml:space="preserve">i</m:t>
                </m:r>
              </m:sub>
            </m:sSub>
            <m:d>
              <m:dPr>
                <m:begChr m:val="("/>
                <m:endChr m:val=")"/>
              </m:dPr>
              <m:e>
                <m:r>
                  <w:rPr>
                    <w:rFonts w:ascii="Cambria Math" w:hAnsi="Cambria Math"/>
                  </w:rPr>
                  <m:t xml:space="preserve">τ</m:t>
                </m:r>
              </m:e>
            </m:d>
            <m:sSub>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i</m:t>
                </m:r>
              </m:sub>
            </m:sSub>
          </m:e>
        </m:nary>
      </m:oMath>
      <w:r>
        <w:rPr>
          <w:sz w:val="24"/>
          <w:szCs w:val="24"/>
        </w:rPr>
        <w:t xml:space="preserve">                                                                         </w:t>
      </w:r>
      <w:r>
        <w:rPr>
          <w:sz w:val="24"/>
          <w:szCs w:val="24"/>
        </w:rPr>
        <w:t xml:space="preserve">(2)  </w:t>
      </w:r>
    </w:p>
    <w:p>
      <w:pPr>
        <w:pStyle w:val="Normal1"/>
        <w:spacing w:lineRule="auto" w:line="360" w:before="0" w:after="0"/>
        <w:jc w:val="both"/>
        <w:rPr>
          <w:sz w:val="24"/>
          <w:szCs w:val="24"/>
        </w:rPr>
      </w:pPr>
      <w:r>
        <w:rPr>
          <w:sz w:val="24"/>
          <w:szCs w:val="24"/>
        </w:rPr>
        <w:t xml:space="preserve">Following the approach of Diebold and Yilmaz (2014), we compute return and volatility connectedness measures based on a quantile variance decomposition. </w:t>
      </w:r>
    </w:p>
    <w:p>
      <w:pPr>
        <w:pStyle w:val="Normal1"/>
        <w:spacing w:lineRule="auto" w:line="360" w:before="0" w:after="0"/>
        <w:jc w:val="both"/>
        <w:rPr>
          <w:sz w:val="24"/>
          <w:szCs w:val="24"/>
        </w:rPr>
      </w:pPr>
      <w:r>
        <w:rPr>
          <w:sz w:val="24"/>
          <w:szCs w:val="24"/>
        </w:rPr>
        <w:t>We represent Eq</w:t>
      </w:r>
      <w:bookmarkStart w:id="1" w:name="bookmark=id.30j0zll"/>
      <w:bookmarkEnd w:id="1"/>
      <w:r>
        <w:rPr>
          <w:sz w:val="24"/>
          <w:szCs w:val="24"/>
        </w:rPr>
        <w:t xml:space="preserve">uation </w:t>
      </w:r>
      <w:r>
        <w:fldChar w:fldCharType="begin"/>
      </w:r>
      <w:r>
        <w:rPr>
          <w:sz w:val="24"/>
          <w:szCs w:val="24"/>
        </w:rPr>
        <w:instrText xml:space="preserve"> HYPERLINK "https://www.sciencedirect.com/science/article/pii/S1062940819304085" \l "e0015"</w:instrText>
      </w:r>
      <w:r>
        <w:rPr>
          <w:sz w:val="24"/>
          <w:szCs w:val="24"/>
        </w:rPr>
        <w:fldChar w:fldCharType="separate"/>
      </w:r>
      <w:r>
        <w:rPr>
          <w:sz w:val="24"/>
          <w:szCs w:val="24"/>
        </w:rPr>
        <w:t>(3)</w:t>
      </w:r>
      <w:r>
        <w:rPr>
          <w:sz w:val="24"/>
          <w:szCs w:val="24"/>
        </w:rPr>
        <w:fldChar w:fldCharType="end"/>
      </w:r>
      <w:r>
        <w:rPr>
          <w:sz w:val="24"/>
          <w:szCs w:val="24"/>
        </w:rPr>
        <w:t xml:space="preserve"> as an infinite order vector moving average process:</w:t>
      </w:r>
    </w:p>
    <w:p>
      <w:pPr>
        <w:pStyle w:val="Normal1"/>
        <w:spacing w:lineRule="auto" w:line="360" w:before="280" w:after="280"/>
        <w:jc w:val="both"/>
        <w:rPr>
          <w:sz w:val="24"/>
          <w:szCs w:val="24"/>
        </w:rPr>
      </w:pPr>
      <w:r>
        <w:rPr/>
      </w:r>
      <m:oMath xmlns:m="http://schemas.openxmlformats.org/officeDocument/2006/math">
        <m:sSub>
          <m:e>
            <m:r>
              <w:rPr>
                <w:rFonts w:ascii="Cambria Math" w:hAnsi="Cambria Math"/>
              </w:rPr>
              <m:t xml:space="preserve">y</m:t>
            </m:r>
          </m:e>
          <m:sub>
            <m:r>
              <w:rPr>
                <w:rFonts w:ascii="Cambria Math" w:hAnsi="Cambria Math"/>
              </w:rPr>
              <m:t xml:space="preserve">t</m:t>
            </m:r>
          </m:sub>
        </m:sSub>
        <m:r>
          <w:rPr>
            <w:rFonts w:ascii="Cambria Math" w:hAnsi="Cambria Math"/>
          </w:rPr>
          <m:t xml:space="preserve">=</m:t>
        </m:r>
        <m:r>
          <w:rPr>
            <w:rFonts w:ascii="Cambria Math" w:hAnsi="Cambria Math"/>
          </w:rPr>
          <m:t xml:space="preserve">μ</m:t>
        </m:r>
        <m:d>
          <m:dPr>
            <m:begChr m:val="("/>
            <m:endChr m:val=")"/>
          </m:dPr>
          <m:e>
            <m:r>
              <w:rPr>
                <w:rFonts w:ascii="Cambria Math" w:hAnsi="Cambria Math"/>
              </w:rPr>
              <m:t xml:space="preserve">τ</m:t>
            </m:r>
          </m:e>
        </m:d>
        <m:r>
          <w:rPr>
            <w:rFonts w:ascii="Cambria Math" w:hAnsi="Cambria Math"/>
          </w:rPr>
          <m:t xml:space="preserve">+</m:t>
        </m:r>
        <m:nary>
          <m:naryPr>
            <m:chr m:val="∑"/>
          </m:naryPr>
          <m:sub>
            <m:r>
              <w:rPr>
                <w:rFonts w:ascii="Cambria Math" w:hAnsi="Cambria Math"/>
              </w:rPr>
              <m:t xml:space="preserve">s</m:t>
            </m:r>
            <m:r>
              <w:rPr>
                <w:rFonts w:ascii="Cambria Math" w:hAnsi="Cambria Math"/>
              </w:rPr>
              <m:t xml:space="preserve">=</m:t>
            </m:r>
            <m:r>
              <w:rPr>
                <w:rFonts w:ascii="Cambria Math" w:hAnsi="Cambria Math"/>
              </w:rPr>
              <m:t xml:space="preserve">0</m:t>
            </m:r>
          </m:sub>
          <m:sup>
            <m:r>
              <w:rPr>
                <w:rFonts w:ascii="Cambria Math" w:hAnsi="Cambria Math"/>
              </w:rPr>
              <m:t xml:space="preserve">∞</m:t>
            </m:r>
          </m:sup>
          <m:e>
            <m:sSub>
              <m:e>
                <m:r>
                  <w:rPr>
                    <w:rFonts w:ascii="Cambria Math" w:hAnsi="Cambria Math"/>
                  </w:rPr>
                  <m:t xml:space="preserve">A</m:t>
                </m:r>
              </m:e>
              <m:sub>
                <m:r>
                  <w:rPr>
                    <w:rFonts w:ascii="Cambria Math" w:hAnsi="Cambria Math"/>
                  </w:rPr>
                  <m:t xml:space="preserve">s</m:t>
                </m:r>
              </m:sub>
            </m:sSub>
            <m:d>
              <m:dPr>
                <m:begChr m:val="("/>
                <m:endChr m:val=")"/>
              </m:dPr>
              <m:e>
                <m:r>
                  <w:rPr>
                    <w:rFonts w:ascii="Cambria Math" w:hAnsi="Cambria Math"/>
                  </w:rPr>
                  <m:t xml:space="preserve">τ</m:t>
                </m:r>
              </m:e>
            </m:d>
            <m:sSub>
              <m:e>
                <m:r>
                  <w:rPr>
                    <w:rFonts w:ascii="Cambria Math" w:hAnsi="Cambria Math"/>
                  </w:rPr>
                  <m:t xml:space="preserve">e</m:t>
                </m:r>
              </m:e>
              <m:sub>
                <m:r>
                  <w:rPr>
                    <w:rFonts w:ascii="Cambria Math" w:hAnsi="Cambria Math"/>
                  </w:rPr>
                  <m:t xml:space="preserve">t</m:t>
                </m:r>
                <m:r>
                  <w:rPr>
                    <w:rFonts w:ascii="Cambria Math" w:hAnsi="Cambria Math"/>
                  </w:rPr>
                  <m:t xml:space="preserve">−</m:t>
                </m:r>
                <m:r>
                  <w:rPr>
                    <w:rFonts w:ascii="Cambria Math" w:hAnsi="Cambria Math"/>
                  </w:rPr>
                  <m:t xml:space="preserve">s</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t</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T</m:t>
            </m:r>
          </m:e>
        </m:nary>
      </m:oMath>
      <w:r>
        <w:rPr>
          <w:sz w:val="24"/>
          <w:szCs w:val="24"/>
        </w:rPr>
        <w:t xml:space="preserve">                                                                               </w:t>
      </w:r>
      <w:r>
        <w:rPr>
          <w:sz w:val="24"/>
          <w:szCs w:val="24"/>
        </w:rPr>
        <w:t xml:space="preserve">(3) </w:t>
      </w:r>
    </w:p>
    <w:p>
      <w:pPr>
        <w:pStyle w:val="Normal1"/>
        <w:spacing w:lineRule="auto" w:line="360" w:before="0" w:after="0"/>
        <w:jc w:val="both"/>
        <w:rPr>
          <w:sz w:val="24"/>
          <w:szCs w:val="24"/>
        </w:rPr>
      </w:pPr>
      <w:r>
        <w:rPr>
          <w:sz w:val="24"/>
          <w:szCs w:val="24"/>
        </w:rPr>
        <w:t xml:space="preserve">with, </w:t>
      </w:r>
      <w:r>
        <w:rPr/>
      </w:r>
      <m:oMath xmlns:m="http://schemas.openxmlformats.org/officeDocument/2006/math">
        <m:r>
          <w:rPr>
            <w:rFonts w:ascii="Cambria Math" w:hAnsi="Cambria Math"/>
          </w:rPr>
          <m:t xml:space="preserve">μ</m:t>
        </m:r>
        <m:d>
          <m:dPr>
            <m:begChr m:val="("/>
            <m:endChr m:val=")"/>
          </m:dPr>
          <m:e>
            <m:r>
              <w:rPr>
                <w:rFonts w:ascii="Cambria Math" w:hAnsi="Cambria Math"/>
              </w:rPr>
              <m:t xml:space="preserve">τ</m:t>
            </m:r>
          </m:e>
        </m:d>
        <m:r>
          <w:rPr>
            <w:rFonts w:ascii="Cambria Math" w:hAnsi="Cambria Math"/>
          </w:rPr>
          <m:t xml:space="preserve">=</m:t>
        </m:r>
        <m:sSup>
          <m:e>
            <m:d>
              <m:dPr>
                <m:begChr m:val="("/>
                <m:endChr m:val=")"/>
              </m:dPr>
              <m:e>
                <m:sSub>
                  <m:e>
                    <m:r>
                      <w:rPr>
                        <w:rFonts w:ascii="Cambria Math" w:hAnsi="Cambria Math"/>
                      </w:rPr>
                      <m:t xml:space="preserve">I</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1</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p</m:t>
                    </m:r>
                  </m:sub>
                </m:sSub>
                <m:d>
                  <m:dPr>
                    <m:begChr m:val="("/>
                    <m:endChr m:val=")"/>
                  </m:dPr>
                  <m:e>
                    <m:r>
                      <w:rPr>
                        <w:rFonts w:ascii="Cambria Math" w:hAnsi="Cambria Math"/>
                      </w:rPr>
                      <m:t xml:space="preserve">τ</m:t>
                    </m:r>
                  </m:e>
                </m:d>
              </m:e>
            </m:d>
          </m:e>
          <m:sup>
            <m:r>
              <w:rPr>
                <w:rFonts w:ascii="Cambria Math" w:hAnsi="Cambria Math"/>
              </w:rPr>
              <m:t xml:space="preserve">−</m:t>
            </m:r>
            <m:r>
              <w:rPr>
                <w:rFonts w:ascii="Cambria Math" w:hAnsi="Cambria Math"/>
              </w:rPr>
              <m:t xml:space="preserve">1</m:t>
            </m:r>
          </m:sup>
        </m:sSup>
        <m:r>
          <w:rPr>
            <w:rFonts w:ascii="Cambria Math" w:hAnsi="Cambria Math"/>
          </w:rPr>
          <m:t xml:space="preserve">c</m:t>
        </m:r>
        <m:d>
          <m:dPr>
            <m:begChr m:val="("/>
            <m:endChr m:val=")"/>
          </m:dPr>
          <m:e>
            <m:r>
              <w:rPr>
                <w:rFonts w:ascii="Cambria Math" w:hAnsi="Cambria Math"/>
              </w:rPr>
              <m:t xml:space="preserve">τ</m:t>
            </m:r>
          </m:e>
        </m:d>
        <m:r>
          <w:rPr>
            <w:rFonts w:ascii="Cambria Math" w:hAnsi="Cambria Math"/>
          </w:rPr>
          <m:t xml:space="preserve">,</m:t>
        </m:r>
        <m:sSub>
          <m:e>
            <m:r>
              <w:rPr>
                <w:rFonts w:ascii="Cambria Math" w:hAnsi="Cambria Math"/>
              </w:rPr>
              <m:t xml:space="preserve">A</m:t>
            </m:r>
          </m:e>
          <m:sub>
            <m:r>
              <w:rPr>
                <w:rFonts w:ascii="Cambria Math" w:hAnsi="Cambria Math"/>
              </w:rPr>
              <m:t xml:space="preserve">s</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s</m:t>
        </m:r>
        <m:r>
          <w:rPr>
            <w:rFonts w:ascii="Cambria Math" w:hAnsi="Cambria Math"/>
          </w:rPr>
          <m:t xml:space="preserve">&lt;</m:t>
        </m:r>
        <m:r>
          <w:rPr>
            <w:rFonts w:ascii="Cambria Math" w:hAnsi="Cambria Math"/>
          </w:rPr>
          <m:t xml:space="preserve">0</m:t>
        </m:r>
        <m:r>
          <w:rPr>
            <w:rFonts w:ascii="Cambria Math" w:hAnsi="Cambria Math"/>
          </w:rPr>
          <m:t xml:space="preserve">;</m:t>
        </m:r>
        <m:sSub>
          <m:e>
            <m:r>
              <w:rPr>
                <w:rFonts w:ascii="Cambria Math" w:hAnsi="Cambria Math"/>
              </w:rPr>
              <m:t xml:space="preserve">I</m:t>
            </m:r>
          </m:e>
          <m:sub>
            <m:r>
              <w:rPr>
                <w:rFonts w:ascii="Cambria Math" w:hAnsi="Cambria Math"/>
              </w:rPr>
              <m:t xml:space="preserve">n</m:t>
            </m:r>
          </m:sub>
        </m:sSub>
        <m:r>
          <w:rPr>
            <w:rFonts w:ascii="Cambria Math" w:hAnsi="Cambria Math"/>
          </w:rPr>
          <m:t xml:space="preserve">,</m:t>
        </m:r>
        <m:r>
          <w:rPr>
            <w:rFonts w:ascii="Cambria Math" w:hAnsi="Cambria Math"/>
          </w:rPr>
          <m:t xml:space="preserve">s</m:t>
        </m:r>
        <m:r>
          <w:rPr>
            <w:rFonts w:ascii="Cambria Math" w:hAnsi="Cambria Math"/>
          </w:rPr>
          <m:t xml:space="preserve">=</m:t>
        </m:r>
        <m:r>
          <w:rPr>
            <w:rFonts w:ascii="Cambria Math" w:hAnsi="Cambria Math"/>
          </w:rPr>
          <m:t xml:space="preserve">0</m:t>
        </m:r>
        <m:sSub>
          <m:e>
            <m:r>
              <w:rPr>
                <w:rFonts w:ascii="Cambria Math" w:hAnsi="Cambria Math"/>
              </w:rPr>
              <m:t xml:space="preserve">B</m:t>
            </m:r>
          </m:e>
          <m:sub>
            <m:r>
              <w:rPr>
                <w:rFonts w:ascii="Cambria Math" w:hAnsi="Cambria Math"/>
              </w:rPr>
              <m:t xml:space="preserve">1</m:t>
            </m:r>
          </m:sub>
        </m:sSub>
        <m:d>
          <m:dPr>
            <m:begChr m:val="("/>
            <m:endChr m:val=")"/>
          </m:dPr>
          <m:e>
            <m:r>
              <w:rPr>
                <w:rFonts w:ascii="Cambria Math" w:hAnsi="Cambria Math"/>
              </w:rPr>
              <m:t xml:space="preserve">τ</m:t>
            </m:r>
          </m:e>
        </m:d>
        <m:sSub>
          <m:e>
            <m:r>
              <w:rPr>
                <w:rFonts w:ascii="Cambria Math" w:hAnsi="Cambria Math"/>
              </w:rPr>
              <m:t xml:space="preserve">A</m:t>
            </m:r>
          </m:e>
          <m:sub>
            <m:r>
              <w:rPr>
                <w:rFonts w:ascii="Cambria Math" w:hAnsi="Cambria Math"/>
              </w:rPr>
              <m:t xml:space="preserve">s</m:t>
            </m:r>
            <m:r>
              <w:rPr>
                <w:rFonts w:ascii="Cambria Math" w:hAnsi="Cambria Math"/>
              </w:rPr>
              <m:t xml:space="preserve">−</m:t>
            </m:r>
            <m:r>
              <w:rPr>
                <w:rFonts w:ascii="Cambria Math" w:hAnsi="Cambria Math"/>
              </w:rPr>
              <m:t xml:space="preserve">1</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B</m:t>
            </m:r>
          </m:e>
          <m:sub>
            <m:r>
              <w:rPr>
                <w:rFonts w:ascii="Cambria Math" w:hAnsi="Cambria Math"/>
              </w:rPr>
              <m:t xml:space="preserve">p</m:t>
            </m:r>
          </m:sub>
        </m:sSub>
        <m:d>
          <m:dPr>
            <m:begChr m:val="("/>
            <m:endChr m:val=")"/>
          </m:dPr>
          <m:e>
            <m:r>
              <w:rPr>
                <w:rFonts w:ascii="Cambria Math" w:hAnsi="Cambria Math"/>
              </w:rPr>
              <m:t xml:space="preserve">τ</m:t>
            </m:r>
          </m:e>
        </m:d>
        <m:sSub>
          <m:e>
            <m:r>
              <w:rPr>
                <w:rFonts w:ascii="Cambria Math" w:hAnsi="Cambria Math"/>
              </w:rPr>
              <m:t xml:space="preserve">A</m:t>
            </m:r>
          </m:e>
          <m:sub>
            <m:r>
              <w:rPr>
                <w:rFonts w:ascii="Cambria Math" w:hAnsi="Cambria Math"/>
              </w:rPr>
              <m:t xml:space="preserve">s</m:t>
            </m:r>
            <m:r>
              <w:rPr>
                <w:rFonts w:ascii="Cambria Math" w:hAnsi="Cambria Math"/>
              </w:rPr>
              <m:t xml:space="preserve">−</m:t>
            </m:r>
            <m:r>
              <w:rPr>
                <w:rFonts w:ascii="Cambria Math" w:hAnsi="Cambria Math"/>
              </w:rPr>
              <m:t xml:space="preserve">p</m:t>
            </m:r>
          </m:sub>
        </m:sSub>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s</m:t>
        </m:r>
        <m:r>
          <w:rPr>
            <w:rFonts w:ascii="Cambria Math" w:hAnsi="Cambria Math"/>
          </w:rPr>
          <m:t xml:space="preserve">&gt;</m:t>
        </m:r>
        <m:r>
          <w:rPr>
            <w:rFonts w:ascii="Cambria Math" w:hAnsi="Cambria Math"/>
          </w:rPr>
          <m:t xml:space="preserve">0</m:t>
        </m:r>
      </m:oMath>
      <w:r>
        <w:rPr/>
        <w:t xml:space="preserve">, </w:t>
      </w:r>
      <w:r>
        <w:rPr>
          <w:sz w:val="24"/>
          <w:szCs w:val="24"/>
        </w:rPr>
        <w:t xml:space="preserve">and </w:t>
      </w:r>
      <w:r>
        <w:rPr/>
      </w:r>
      <m:oMath xmlns:m="http://schemas.openxmlformats.org/officeDocument/2006/math">
        <m:sSub>
          <m:e>
            <m:r>
              <w:rPr>
                <w:rFonts w:ascii="Cambria Math" w:hAnsi="Cambria Math"/>
              </w:rPr>
              <m:t xml:space="preserve">y</m:t>
            </m:r>
          </m:e>
          <m:sub>
            <m:r>
              <w:rPr>
                <w:rFonts w:ascii="Cambria Math" w:hAnsi="Cambria Math"/>
              </w:rPr>
              <m:t xml:space="preserve">t</m:t>
            </m:r>
          </m:sub>
        </m:sSub>
      </m:oMath>
      <w:r>
        <w:rPr>
          <w:sz w:val="24"/>
          <w:szCs w:val="24"/>
        </w:rPr>
        <w:t xml:space="preserve"> is given by the sum of </w:t>
      </w:r>
      <w:r>
        <w:rPr/>
      </w:r>
      <m:oMath xmlns:m="http://schemas.openxmlformats.org/officeDocument/2006/math">
        <m:sSub>
          <m:e>
            <m:r>
              <w:rPr>
                <w:rFonts w:ascii="Cambria Math" w:hAnsi="Cambria Math"/>
              </w:rPr>
              <m:t xml:space="preserve">e</m:t>
            </m:r>
          </m:e>
          <m:sub>
            <m:r>
              <w:rPr>
                <w:rFonts w:ascii="Cambria Math" w:hAnsi="Cambria Math"/>
              </w:rPr>
              <m:t xml:space="preserve">t</m:t>
            </m:r>
          </m:sub>
        </m:sSub>
        <m:d>
          <m:dPr>
            <m:begChr m:val="("/>
            <m:endChr m:val=")"/>
          </m:dPr>
          <m:e>
            <m:r>
              <w:rPr>
                <w:rFonts w:ascii="Cambria Math" w:hAnsi="Cambria Math"/>
              </w:rPr>
              <m:t xml:space="preserve">τ</m:t>
            </m:r>
          </m:e>
        </m:d>
      </m:oMath>
      <w:r>
        <w:rPr>
          <w:sz w:val="24"/>
          <w:szCs w:val="24"/>
        </w:rPr>
        <w:t xml:space="preserve">. </w:t>
      </w:r>
    </w:p>
    <w:p>
      <w:pPr>
        <w:pStyle w:val="Normal1"/>
        <w:spacing w:lineRule="auto" w:line="360" w:before="0" w:after="0"/>
        <w:jc w:val="both"/>
        <w:rPr>
          <w:sz w:val="24"/>
          <w:szCs w:val="24"/>
        </w:rPr>
      </w:pPr>
      <w:r>
        <w:rPr>
          <w:sz w:val="24"/>
          <w:szCs w:val="24"/>
        </w:rPr>
      </w:r>
    </w:p>
    <w:p>
      <w:pPr>
        <w:pStyle w:val="Normal1"/>
        <w:spacing w:lineRule="auto" w:line="360" w:before="0" w:after="0"/>
        <w:jc w:val="both"/>
        <w:rPr>
          <w:rFonts w:ascii="Times New Roman" w:hAnsi="Times New Roman" w:eastAsia="Times New Roman" w:cs="Times New Roman"/>
          <w:sz w:val="24"/>
          <w:szCs w:val="24"/>
        </w:rPr>
      </w:pPr>
      <w:r>
        <w:rPr>
          <w:sz w:val="24"/>
          <w:szCs w:val="24"/>
        </w:rPr>
        <w:t xml:space="preserve">The generalized forecast error variance decomposition (GFEVD), </w:t>
      </w:r>
      <w:r>
        <w:rPr/>
      </w:r>
      <m:oMath xmlns:m="http://schemas.openxmlformats.org/officeDocument/2006/math">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oMath>
      <w:r>
        <w:rPr>
          <w:rFonts w:eastAsia="Times New Roman" w:cs="Times New Roman" w:ascii="Times New Roman" w:hAnsi="Times New Roman"/>
          <w:sz w:val="24"/>
          <w:szCs w:val="24"/>
        </w:rPr>
        <w:t xml:space="preserve">, </w:t>
      </w:r>
      <w:r>
        <w:rPr>
          <w:sz w:val="24"/>
          <w:szCs w:val="24"/>
        </w:rPr>
        <w:t>is computed as in Diebold and Yilmaz (2014). It reflects</w:t>
      </w:r>
      <w:r>
        <w:rPr>
          <w:rFonts w:eastAsia="Times New Roman" w:cs="Times New Roman" w:ascii="Times New Roman" w:hAnsi="Times New Roman"/>
          <w:sz w:val="24"/>
          <w:szCs w:val="24"/>
        </w:rPr>
        <w:t xml:space="preserve"> the contribution of the </w:t>
      </w:r>
      <w:r>
        <w:rPr>
          <w:rFonts w:eastAsia="Times New Roman" w:cs="Times New Roman" w:ascii="Times New Roman" w:hAnsi="Times New Roman"/>
          <w:i/>
          <w:sz w:val="24"/>
          <w:szCs w:val="24"/>
        </w:rPr>
        <w:t>j</w:t>
      </w:r>
      <w:r>
        <w:rPr>
          <w:rFonts w:eastAsia="Times New Roman" w:cs="Times New Roman" w:ascii="Times New Roman" w:hAnsi="Times New Roman"/>
          <w:sz w:val="24"/>
          <w:szCs w:val="24"/>
        </w:rPr>
        <w:t xml:space="preserve">th stock return (volatility) to the variance of the forecast error of the stock return (volatility) </w:t>
      </w:r>
      <w:r>
        <w:rPr>
          <w:rFonts w:eastAsia="Times New Roman" w:cs="Times New Roman" w:ascii="Times New Roman" w:hAnsi="Times New Roman"/>
          <w:i/>
          <w:sz w:val="24"/>
          <w:szCs w:val="24"/>
        </w:rPr>
        <w:t>i</w:t>
      </w:r>
      <w:r>
        <w:rPr>
          <w:rFonts w:eastAsia="Times New Roman" w:cs="Times New Roman" w:ascii="Times New Roman" w:hAnsi="Times New Roman"/>
          <w:sz w:val="24"/>
          <w:szCs w:val="24"/>
        </w:rPr>
        <w:t xml:space="preserve">th at horizon H.  </w:t>
      </w:r>
    </w:p>
    <w:p>
      <w:pPr>
        <w:pStyle w:val="Normal1"/>
        <w:spacing w:lineRule="auto" w:line="360" w:before="0" w:after="0"/>
        <w:jc w:val="both"/>
        <w:rPr>
          <w:sz w:val="24"/>
          <w:szCs w:val="24"/>
        </w:rPr>
      </w:pPr>
      <w:r>
        <w:rPr/>
      </w:r>
      <m:oMath xmlns:m="http://schemas.openxmlformats.org/officeDocument/2006/math">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r>
          <w:rPr>
            <w:rFonts w:ascii="Cambria Math" w:hAnsi="Cambria Math"/>
          </w:rPr>
          <m:t xml:space="preserve">=</m:t>
        </m:r>
        <m:f>
          <m:num>
            <m:sSubSup>
              <m:e>
                <m:r>
                  <w:rPr>
                    <w:rFonts w:ascii="Cambria Math" w:hAnsi="Cambria Math"/>
                  </w:rPr>
                  <m:t xml:space="preserve">σ</m:t>
                </m:r>
              </m:e>
              <m:sub>
                <m:r>
                  <w:rPr>
                    <w:rFonts w:ascii="Cambria Math" w:hAnsi="Cambria Math"/>
                  </w:rPr>
                  <m:t xml:space="preserve">jj</m:t>
                </m:r>
              </m:sub>
              <m:sup>
                <m:r>
                  <w:rPr>
                    <w:rFonts w:ascii="Cambria Math" w:hAnsi="Cambria Math"/>
                  </w:rPr>
                  <m:t xml:space="preserve">−</m:t>
                </m:r>
                <m:r>
                  <w:rPr>
                    <w:rFonts w:ascii="Cambria Math" w:hAnsi="Cambria Math"/>
                  </w:rPr>
                  <m:t xml:space="preserve">1</m:t>
                </m:r>
              </m:sup>
            </m:sSubSup>
            <m:nary>
              <m:naryPr>
                <m:chr m:val="∑"/>
              </m:naryPr>
              <m:sub>
                <m:r>
                  <w:rPr>
                    <w:rFonts w:ascii="Cambria Math" w:hAnsi="Cambria Math"/>
                  </w:rPr>
                  <m:t xml:space="preserve">h</m:t>
                </m:r>
                <m:r>
                  <w:rPr>
                    <w:rFonts w:ascii="Cambria Math" w:hAnsi="Cambria Math"/>
                  </w:rPr>
                  <m:t xml:space="preserve">=</m:t>
                </m:r>
                <m:r>
                  <w:rPr>
                    <w:rFonts w:ascii="Cambria Math" w:hAnsi="Cambria Math"/>
                  </w:rPr>
                  <m:t xml:space="preserve">0</m:t>
                </m:r>
              </m:sub>
              <m:sup>
                <m:r>
                  <w:rPr>
                    <w:rFonts w:ascii="Cambria Math" w:hAnsi="Cambria Math"/>
                  </w:rPr>
                  <m:t xml:space="preserve">H</m:t>
                </m:r>
                <m:r>
                  <w:rPr>
                    <w:rFonts w:ascii="Cambria Math" w:hAnsi="Cambria Math"/>
                  </w:rPr>
                  <m:t xml:space="preserve">−</m:t>
                </m:r>
                <m:r>
                  <w:rPr>
                    <w:rFonts w:ascii="Cambria Math" w:hAnsi="Cambria Math"/>
                  </w:rPr>
                  <m:t xml:space="preserve">1</m:t>
                </m:r>
              </m:sup>
              <m:e>
                <m:sSup>
                  <m:e>
                    <m:d>
                      <m:dPr>
                        <m:begChr m:val="("/>
                        <m:endChr m:val=")"/>
                      </m:dPr>
                      <m:e>
                        <m:sSubSup>
                          <m:e>
                            <m:r>
                              <w:rPr>
                                <w:rFonts w:ascii="Cambria Math" w:hAnsi="Cambria Math"/>
                              </w:rPr>
                              <m:t xml:space="preserve">e</m:t>
                            </m:r>
                          </m:e>
                          <m:sub>
                            <m:r>
                              <w:rPr>
                                <w:rFonts w:ascii="Cambria Math" w:hAnsi="Cambria Math"/>
                              </w:rPr>
                              <m:t xml:space="preserve">i</m:t>
                            </m:r>
                          </m:sub>
                          <m:sup>
                            <m:r>
                              <w:rPr>
                                <w:rFonts w:ascii="Cambria Math" w:hAnsi="Cambria Math"/>
                              </w:rPr>
                              <m:t xml:space="preserve">'</m:t>
                            </m:r>
                          </m:sup>
                        </m:sSubSup>
                        <m:sSub>
                          <m:e>
                            <m:r>
                              <w:rPr>
                                <w:rFonts w:ascii="Cambria Math" w:hAnsi="Cambria Math"/>
                              </w:rPr>
                              <m:t xml:space="preserve">h</m:t>
                            </m:r>
                          </m:e>
                          <m:sub>
                            <m:r>
                              <w:rPr>
                                <w:rFonts w:ascii="Cambria Math" w:hAnsi="Cambria Math"/>
                              </w:rPr>
                              <m:t xml:space="preserve">h</m:t>
                            </m:r>
                          </m:sub>
                        </m:sSub>
                        <m:r>
                          <w:rPr>
                            <w:rFonts w:ascii="Cambria Math" w:hAnsi="Cambria Math"/>
                          </w:rPr>
                          <m:t xml:space="preserve">∑</m:t>
                        </m:r>
                        <m:sSub>
                          <m:e>
                            <m:r>
                              <w:rPr>
                                <w:rFonts w:ascii="Cambria Math" w:hAnsi="Cambria Math"/>
                              </w:rPr>
                              <m:t xml:space="preserve">e</m:t>
                            </m:r>
                          </m:e>
                          <m:sub>
                            <m:r>
                              <w:rPr>
                                <w:rFonts w:ascii="Cambria Math" w:hAnsi="Cambria Math"/>
                              </w:rPr>
                              <m:t xml:space="preserve">j</m:t>
                            </m:r>
                          </m:sub>
                        </m:sSub>
                      </m:e>
                    </m:d>
                  </m:e>
                  <m:sup>
                    <m:r>
                      <w:rPr>
                        <w:rFonts w:ascii="Cambria Math" w:hAnsi="Cambria Math"/>
                      </w:rPr>
                      <m:t xml:space="preserve">2</m:t>
                    </m:r>
                  </m:sup>
                </m:sSup>
              </m:e>
            </m:nary>
          </m:num>
          <m:den/>
        </m:f>
      </m:oMath>
      <w:r>
        <w:rPr>
          <w:sz w:val="24"/>
          <w:szCs w:val="24"/>
        </w:rPr>
        <w:t xml:space="preserve">                                                                                                           </w:t>
      </w:r>
      <w:r>
        <w:rPr>
          <w:sz w:val="24"/>
          <w:szCs w:val="24"/>
        </w:rPr>
        <w:t>(4)</w:t>
      </w:r>
    </w:p>
    <w:p>
      <w:pPr>
        <w:pStyle w:val="Normal1"/>
        <w:spacing w:lineRule="auto" w:line="360" w:before="0" w:after="0"/>
        <w:jc w:val="both"/>
        <w:rPr>
          <w:sz w:val="24"/>
          <w:szCs w:val="24"/>
        </w:rPr>
      </w:pPr>
      <w:r>
        <w:rPr>
          <w:sz w:val="24"/>
          <w:szCs w:val="24"/>
        </w:rPr>
      </w:r>
    </w:p>
    <w:p>
      <w:pPr>
        <w:pStyle w:val="Normal1"/>
        <w:spacing w:lineRule="auto" w:line="360" w:before="0" w:after="0"/>
        <w:jc w:val="both"/>
        <w:rPr>
          <w:sz w:val="24"/>
          <w:szCs w:val="24"/>
        </w:rPr>
      </w:pPr>
      <w:r>
        <w:rPr>
          <w:sz w:val="24"/>
          <w:szCs w:val="24"/>
        </w:rPr>
        <w:t xml:space="preserve">where, ∑ is the variance matrix of the vector of residuals,  </w:t>
      </w:r>
      <w:r>
        <w:rPr/>
      </w:r>
      <m:oMath xmlns:m="http://schemas.openxmlformats.org/officeDocument/2006/math">
        <m:sSub>
          <m:e>
            <m:r>
              <w:rPr>
                <w:rFonts w:ascii="Cambria Math" w:hAnsi="Cambria Math"/>
              </w:rPr>
              <m:t xml:space="preserve">σ</m:t>
            </m:r>
          </m:e>
          <m:sub>
            <m:r>
              <w:rPr>
                <w:rFonts w:ascii="Cambria Math" w:hAnsi="Cambria Math"/>
              </w:rPr>
              <m:t xml:space="preserve">jj</m:t>
            </m:r>
          </m:sub>
        </m:sSub>
      </m:oMath>
      <w:r>
        <w:rPr>
          <w:sz w:val="24"/>
          <w:szCs w:val="24"/>
        </w:rPr>
        <w:t xml:space="preserve"> is the </w:t>
      </w:r>
      <w:r>
        <w:rPr>
          <w:i/>
          <w:sz w:val="24"/>
          <w:szCs w:val="24"/>
        </w:rPr>
        <w:t>j</w:t>
      </w:r>
      <w:r>
        <w:rPr>
          <w:sz w:val="24"/>
          <w:szCs w:val="24"/>
        </w:rPr>
        <w:t xml:space="preserve">th diagonal element of the Σ matrix, and </w:t>
      </w:r>
      <w:r>
        <w:rPr/>
      </w:r>
      <m:oMath xmlns:m="http://schemas.openxmlformats.org/officeDocument/2006/math">
        <m:sSub>
          <m:e>
            <m:r>
              <w:rPr>
                <w:rFonts w:ascii="Cambria Math" w:hAnsi="Cambria Math"/>
              </w:rPr>
              <m:t xml:space="preserve">e</m:t>
            </m:r>
          </m:e>
          <m:sub>
            <m:r>
              <w:rPr>
                <w:rFonts w:ascii="Cambria Math" w:hAnsi="Cambria Math"/>
              </w:rPr>
              <m:t xml:space="preserve">i</m:t>
            </m:r>
          </m:sub>
        </m:sSub>
      </m:oMath>
      <w:r>
        <w:rPr>
          <w:sz w:val="24"/>
          <w:szCs w:val="24"/>
        </w:rPr>
        <w:t xml:space="preserve"> denotes a vector with a value of 1 for the </w:t>
      </w:r>
      <w:r>
        <w:rPr>
          <w:i/>
          <w:sz w:val="24"/>
          <w:szCs w:val="24"/>
        </w:rPr>
        <w:t>i</w:t>
      </w:r>
      <w:r>
        <w:rPr>
          <w:sz w:val="24"/>
          <w:szCs w:val="24"/>
        </w:rPr>
        <w:t>th element and 0 otherwise.</w:t>
      </w:r>
    </w:p>
    <w:p>
      <w:pPr>
        <w:pStyle w:val="Normal1"/>
        <w:spacing w:lineRule="auto" w:line="360" w:before="280" w:after="0"/>
        <w:jc w:val="both"/>
        <w:rPr>
          <w:sz w:val="24"/>
          <w:szCs w:val="24"/>
        </w:rPr>
      </w:pPr>
      <w:r>
        <w:rPr>
          <w:rFonts w:eastAsia="Times New Roman" w:cs="Times New Roman" w:ascii="Times New Roman" w:hAnsi="Times New Roman"/>
          <w:sz w:val="24"/>
          <w:szCs w:val="24"/>
        </w:rPr>
        <w:t xml:space="preserve">Its scaled version, </w:t>
      </w:r>
      <w:r>
        <w:rPr/>
      </w:r>
      <m:oMath xmlns:m="http://schemas.openxmlformats.org/officeDocument/2006/math">
        <m:sSubSup>
          <m:e>
            <m:acc>
              <m:accPr>
                <m:chr m:val="~"/>
              </m:accPr>
              <m:e>
                <m:r>
                  <w:rPr>
                    <w:rFonts w:ascii="Cambria Math" w:hAnsi="Cambria Math"/>
                  </w:rPr>
                  <m:t xml:space="preserve">θ</m:t>
                </m:r>
              </m:e>
            </m:acc>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oMath>
      <w:r>
        <w:rPr>
          <w:rFonts w:eastAsia="Times New Roman" w:cs="Times New Roman" w:ascii="Times New Roman" w:hAnsi="Times New Roman"/>
          <w:sz w:val="24"/>
          <w:szCs w:val="24"/>
        </w:rPr>
        <w:t>, is represented as:</w:t>
      </w:r>
    </w:p>
    <w:p>
      <w:pPr>
        <w:pStyle w:val="Normal1"/>
        <w:spacing w:lineRule="auto" w:line="360" w:before="280" w:after="280"/>
        <w:jc w:val="both"/>
        <w:rPr>
          <w:sz w:val="24"/>
          <w:szCs w:val="24"/>
        </w:rPr>
      </w:pPr>
      <w:r>
        <w:rPr/>
      </w:r>
      <m:oMath xmlns:m="http://schemas.openxmlformats.org/officeDocument/2006/math">
        <m:sSubSup>
          <m:e>
            <m:acc>
              <m:accPr>
                <m:chr m:val="~"/>
              </m:accPr>
              <m:e>
                <m:r>
                  <w:rPr>
                    <w:rFonts w:ascii="Cambria Math" w:hAnsi="Cambria Math"/>
                  </w:rPr>
                  <m:t xml:space="preserve">θ</m:t>
                </m:r>
              </m:e>
            </m:acc>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r>
          <w:rPr>
            <w:rFonts w:ascii="Cambria Math" w:hAnsi="Cambria Math"/>
          </w:rPr>
          <m:t xml:space="preserve">=</m:t>
        </m:r>
        <m:f>
          <m:num>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num>
          <m:den>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Sup>
                  <m:e>
                    <m:r>
                      <w:rPr>
                        <w:rFonts w:ascii="Cambria Math" w:hAnsi="Cambria Math"/>
                      </w:rPr>
                      <m:t xml:space="preserve">θ</m:t>
                    </m:r>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H</m:t>
                    </m:r>
                  </m:e>
                </m:d>
              </m:e>
            </m:nary>
          </m:den>
        </m:f>
      </m:oMath>
      <w:r>
        <w:rPr>
          <w:sz w:val="24"/>
          <w:szCs w:val="24"/>
        </w:rPr>
        <w:t xml:space="preserve">                                                                                                                        </w:t>
      </w:r>
      <w:r>
        <w:rPr>
          <w:sz w:val="24"/>
          <w:szCs w:val="24"/>
        </w:rPr>
        <w:t>(5)</w:t>
      </w:r>
    </w:p>
    <w:p>
      <w:pPr>
        <w:pStyle w:val="Normal1"/>
        <w:spacing w:lineRule="auto" w:line="360" w:before="0" w:after="0"/>
        <w:jc w:val="both"/>
        <w:rPr>
          <w:sz w:val="24"/>
          <w:szCs w:val="24"/>
        </w:rPr>
      </w:pPr>
      <w:r>
        <w:rPr>
          <w:sz w:val="24"/>
          <w:szCs w:val="24"/>
        </w:rPr>
        <w:t xml:space="preserve">Various spillover measures are estimated at each quantile: </w:t>
      </w:r>
    </w:p>
    <w:p>
      <w:pPr>
        <w:pStyle w:val="Normal1"/>
        <w:spacing w:lineRule="auto" w:line="360" w:before="0" w:after="0"/>
        <w:jc w:val="both"/>
        <w:rPr>
          <w:sz w:val="24"/>
          <w:szCs w:val="24"/>
        </w:rPr>
      </w:pPr>
      <w:r>
        <w:rPr>
          <w:sz w:val="24"/>
          <w:szCs w:val="24"/>
        </w:rPr>
        <w:t xml:space="preserve">The total spillover index at quantile τ: </w:t>
      </w:r>
    </w:p>
    <w:p>
      <w:pPr>
        <w:pStyle w:val="Normal1"/>
        <w:spacing w:lineRule="auto" w:line="360" w:before="280" w:after="280"/>
        <w:jc w:val="both"/>
        <w:rPr>
          <w:sz w:val="24"/>
          <w:szCs w:val="24"/>
        </w:rPr>
      </w:pPr>
      <w:bookmarkStart w:id="2" w:name="_heading=h.1fob9te"/>
      <w:bookmarkEnd w:id="2"/>
      <w:r>
        <w:rPr>
          <w:sz w:val="24"/>
          <w:szCs w:val="24"/>
        </w:rPr>
        <w:t xml:space="preserve"> </w:t>
      </w:r>
      <w:r>
        <w:rPr/>
      </w:r>
      <m:oMath xmlns:m="http://schemas.openxmlformats.org/officeDocument/2006/math">
        <m:r>
          <w:rPr>
            <w:rFonts w:ascii="Cambria Math" w:hAnsi="Cambria Math"/>
          </w:rPr>
          <m:t xml:space="preserve">TSI</m:t>
        </m:r>
        <m:d>
          <m:dPr>
            <m:begChr m:val="("/>
            <m:endChr m:val=")"/>
          </m:dPr>
          <m:e>
            <m:r>
              <w:rPr>
                <w:rFonts w:ascii="Cambria Math" w:hAnsi="Cambria Math"/>
              </w:rPr>
              <m:t xml:space="preserve">τ</m:t>
            </m:r>
          </m:e>
        </m:d>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ub>
                  <m:sup>
                    <m:r>
                      <w:rPr>
                        <w:rFonts w:ascii="Cambria Math" w:hAnsi="Cambria Math"/>
                      </w:rPr>
                      <m:t xml:space="preserve">N</m:t>
                    </m:r>
                  </m:sup>
                  <m:e>
                    <m:sSubSup>
                      <m:e>
                        <m:acc>
                          <m:accPr>
                            <m:chr m:val="~"/>
                          </m:accPr>
                          <m:e>
                            <m:r>
                              <w:rPr>
                                <w:rFonts w:ascii="Cambria Math" w:hAnsi="Cambria Math"/>
                              </w:rPr>
                              <m:t xml:space="preserve">θ</m:t>
                            </m:r>
                          </m:e>
                        </m:acc>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100</m:t>
                    </m:r>
                  </m:e>
                </m:nary>
              </m:e>
            </m:nary>
          </m:num>
          <m:den/>
        </m:f>
      </m:oMath>
      <w:r>
        <w:rPr>
          <w:sz w:val="24"/>
          <w:szCs w:val="24"/>
        </w:rPr>
        <w:t xml:space="preserve">                                                                                           </w:t>
      </w:r>
      <w:r>
        <w:rPr>
          <w:sz w:val="24"/>
          <w:szCs w:val="24"/>
        </w:rPr>
        <w:t xml:space="preserve">(6) </w:t>
      </w:r>
    </w:p>
    <w:p>
      <w:pPr>
        <w:pStyle w:val="Normal1"/>
        <w:spacing w:lineRule="auto" w:line="360" w:before="0" w:after="0"/>
        <w:jc w:val="both"/>
        <w:rPr>
          <w:sz w:val="24"/>
          <w:szCs w:val="24"/>
        </w:rPr>
      </w:pPr>
      <w:r>
        <w:rPr>
          <w:sz w:val="24"/>
          <w:szCs w:val="24"/>
        </w:rPr>
        <w:t xml:space="preserve">The directional spillover index from stock </w:t>
      </w:r>
      <w:r>
        <w:rPr>
          <w:i/>
          <w:sz w:val="24"/>
          <w:szCs w:val="24"/>
        </w:rPr>
        <w:t>i</w:t>
      </w:r>
      <w:r>
        <w:rPr>
          <w:sz w:val="24"/>
          <w:szCs w:val="24"/>
        </w:rPr>
        <w:t xml:space="preserve"> to all stocks </w:t>
      </w:r>
      <w:r>
        <w:rPr>
          <w:i/>
          <w:sz w:val="24"/>
          <w:szCs w:val="24"/>
        </w:rPr>
        <w:t xml:space="preserve">j </w:t>
      </w:r>
      <w:r>
        <w:rPr>
          <w:sz w:val="24"/>
          <w:szCs w:val="24"/>
        </w:rPr>
        <w:t>at quantile τ:</w:t>
      </w:r>
    </w:p>
    <w:p>
      <w:pPr>
        <w:pStyle w:val="Normal1"/>
        <w:spacing w:lineRule="auto" w:line="360" w:before="280" w:after="280"/>
        <w:rPr>
          <w:sz w:val="24"/>
          <w:szCs w:val="24"/>
        </w:rPr>
      </w:pPr>
      <w:r>
        <w:rPr/>
      </w:r>
      <m:oMath xmlns:m="http://schemas.openxmlformats.org/officeDocument/2006/math">
        <m:sSub>
          <m:e>
            <m:r>
              <w:rPr>
                <w:rFonts w:ascii="Cambria Math" w:hAnsi="Cambria Math"/>
              </w:rPr>
              <m:t xml:space="preserve">SI</m:t>
            </m:r>
          </m:e>
          <m:sub>
            <m:r>
              <w:rPr>
                <w:rFonts w:ascii="Cambria Math" w:hAnsi="Cambria Math"/>
              </w:rPr>
              <m:t xml:space="preserve">ij</m:t>
            </m:r>
          </m:sub>
        </m:sSub>
        <m:d>
          <m:dPr>
            <m:begChr m:val="("/>
            <m:endChr m:val=")"/>
          </m:dPr>
          <m:e>
            <m:r>
              <w:rPr>
                <w:rFonts w:ascii="Cambria Math" w:hAnsi="Cambria Math"/>
              </w:rPr>
              <m:t xml:space="preserve">τ</m:t>
            </m:r>
          </m:e>
        </m:d>
        <m:r>
          <w:rPr>
            <w:rFonts w:ascii="Cambria Math" w:hAnsi="Cambria Math"/>
          </w:rPr>
          <m:t xml:space="preserve">=</m:t>
        </m:r>
        <m:f>
          <m:num>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ub>
              <m:sup>
                <m:r>
                  <w:rPr>
                    <w:rFonts w:ascii="Cambria Math" w:hAnsi="Cambria Math"/>
                  </w:rPr>
                  <m:t xml:space="preserve">N</m:t>
                </m:r>
              </m:sup>
              <m:e>
                <m:sSubSup>
                  <m:e>
                    <m:acc>
                      <m:accPr>
                        <m:chr m:val="~"/>
                      </m:accPr>
                      <m:e>
                        <m:r>
                          <w:rPr>
                            <w:rFonts w:ascii="Cambria Math" w:hAnsi="Cambria Math"/>
                          </w:rPr>
                          <m:t xml:space="preserve">θ</m:t>
                        </m:r>
                      </m:e>
                    </m:acc>
                  </m:e>
                  <m:sub>
                    <m:r>
                      <w:rPr>
                        <w:rFonts w:ascii="Cambria Math" w:hAnsi="Cambria Math"/>
                      </w:rPr>
                      <m:t xml:space="preserve">ji</m:t>
                    </m:r>
                  </m:sub>
                  <m:sup>
                    <m:r>
                      <w:rPr>
                        <w:rFonts w:ascii="Cambria Math" w:hAnsi="Cambria Math"/>
                      </w:rPr>
                      <m:t xml:space="preserve">g</m:t>
                    </m:r>
                  </m:sup>
                </m:sSubSup>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100</m:t>
                </m:r>
              </m:e>
            </m:nary>
          </m:num>
          <m:den/>
        </m:f>
      </m:oMath>
      <w:r>
        <w:rPr>
          <w:sz w:val="24"/>
          <w:szCs w:val="24"/>
        </w:rPr>
        <w:t xml:space="preserve">                                                                                                    </w:t>
      </w:r>
      <w:r>
        <w:rPr>
          <w:sz w:val="24"/>
          <w:szCs w:val="24"/>
        </w:rPr>
        <w:t xml:space="preserve">(7) </w:t>
      </w:r>
    </w:p>
    <w:p>
      <w:pPr>
        <w:pStyle w:val="Normal1"/>
        <w:spacing w:lineRule="auto" w:line="360" w:before="0" w:after="0"/>
        <w:jc w:val="both"/>
        <w:rPr>
          <w:sz w:val="24"/>
          <w:szCs w:val="24"/>
        </w:rPr>
      </w:pPr>
      <w:r>
        <w:rPr>
          <w:sz w:val="24"/>
          <w:szCs w:val="24"/>
        </w:rPr>
        <w:t xml:space="preserve">The directional spillover index from all stocks </w:t>
      </w:r>
      <w:r>
        <w:rPr>
          <w:i/>
          <w:sz w:val="24"/>
          <w:szCs w:val="24"/>
        </w:rPr>
        <w:t>j</w:t>
      </w:r>
      <w:r>
        <w:rPr>
          <w:sz w:val="24"/>
          <w:szCs w:val="24"/>
        </w:rPr>
        <w:t xml:space="preserve"> to sock </w:t>
      </w:r>
      <w:r>
        <w:rPr>
          <w:i/>
          <w:sz w:val="24"/>
          <w:szCs w:val="24"/>
        </w:rPr>
        <w:t>i</w:t>
      </w:r>
      <w:r>
        <w:rPr>
          <w:sz w:val="24"/>
          <w:szCs w:val="24"/>
        </w:rPr>
        <w:t xml:space="preserve"> at quantile τ:</w:t>
      </w:r>
    </w:p>
    <w:p>
      <w:pPr>
        <w:pStyle w:val="Normal1"/>
        <w:spacing w:lineRule="auto" w:line="360" w:before="280" w:after="280"/>
        <w:jc w:val="both"/>
        <w:rPr>
          <w:sz w:val="24"/>
          <w:szCs w:val="24"/>
        </w:rPr>
      </w:pPr>
      <w:r>
        <w:rPr/>
      </w:r>
      <m:oMath xmlns:m="http://schemas.openxmlformats.org/officeDocument/2006/math">
        <m:sSub>
          <m:e>
            <m:r>
              <w:rPr>
                <w:rFonts w:ascii="Cambria Math" w:hAnsi="Cambria Math"/>
              </w:rPr>
              <m:t xml:space="preserve">SI</m:t>
            </m:r>
          </m:e>
          <m:sub>
            <m:r>
              <w:rPr>
                <w:rFonts w:ascii="Cambria Math" w:hAnsi="Cambria Math"/>
              </w:rPr>
              <m:t xml:space="preserve">ij</m:t>
            </m:r>
          </m:sub>
        </m:sSub>
        <m:d>
          <m:dPr>
            <m:begChr m:val="("/>
            <m:endChr m:val=")"/>
          </m:dPr>
          <m:e>
            <m:r>
              <w:rPr>
                <w:rFonts w:ascii="Cambria Math" w:hAnsi="Cambria Math"/>
              </w:rPr>
              <m:t xml:space="preserve">τ</m:t>
            </m:r>
          </m:e>
        </m:d>
        <m:r>
          <w:rPr>
            <w:rFonts w:ascii="Cambria Math" w:hAnsi="Cambria Math"/>
          </w:rPr>
          <m:t xml:space="preserve">=</m:t>
        </m:r>
        <m:f>
          <m:num>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j</m:t>
                </m:r>
              </m:sub>
              <m:sup>
                <m:r>
                  <w:rPr>
                    <w:rFonts w:ascii="Cambria Math" w:hAnsi="Cambria Math"/>
                  </w:rPr>
                  <m:t xml:space="preserve">N</m:t>
                </m:r>
              </m:sup>
              <m:e>
                <m:sSubSup>
                  <m:e>
                    <m:acc>
                      <m:accPr>
                        <m:chr m:val="~"/>
                      </m:accPr>
                      <m:e>
                        <m:r>
                          <w:rPr>
                            <w:rFonts w:ascii="Cambria Math" w:hAnsi="Cambria Math"/>
                          </w:rPr>
                          <m:t xml:space="preserve">θ</m:t>
                        </m:r>
                      </m:e>
                    </m:acc>
                  </m:e>
                  <m:sub>
                    <m:r>
                      <w:rPr>
                        <w:rFonts w:ascii="Cambria Math" w:hAnsi="Cambria Math"/>
                      </w:rPr>
                      <m:t xml:space="preserve">ij</m:t>
                    </m:r>
                  </m:sub>
                  <m:sup>
                    <m:r>
                      <w:rPr>
                        <w:rFonts w:ascii="Cambria Math" w:hAnsi="Cambria Math"/>
                      </w:rPr>
                      <m:t xml:space="preserve">g</m:t>
                    </m:r>
                  </m:sup>
                </m:sSubSup>
                <m:d>
                  <m:dPr>
                    <m:begChr m:val="("/>
                    <m:endChr m:val=")"/>
                  </m:dPr>
                  <m:e>
                    <m:r>
                      <w:rPr>
                        <w:rFonts w:ascii="Cambria Math" w:hAnsi="Cambria Math"/>
                      </w:rPr>
                      <m:t xml:space="preserve">τ</m:t>
                    </m:r>
                  </m:e>
                </m:d>
                <m:r>
                  <w:rPr>
                    <w:rFonts w:ascii="Cambria Math" w:hAnsi="Cambria Math"/>
                  </w:rPr>
                  <m:t xml:space="preserve">×</m:t>
                </m:r>
                <m:r>
                  <w:rPr>
                    <w:rFonts w:ascii="Cambria Math" w:hAnsi="Cambria Math"/>
                  </w:rPr>
                  <m:t xml:space="preserve">100</m:t>
                </m:r>
              </m:e>
            </m:nary>
          </m:num>
          <m:den/>
        </m:f>
      </m:oMath>
      <w:r>
        <w:rPr>
          <w:sz w:val="24"/>
          <w:szCs w:val="24"/>
        </w:rPr>
        <w:t xml:space="preserve">                                                                                                    </w:t>
      </w:r>
      <w:r>
        <w:rPr>
          <w:sz w:val="24"/>
          <w:szCs w:val="24"/>
        </w:rPr>
        <w:t>(8)</w:t>
      </w:r>
    </w:p>
    <w:p>
      <w:pPr>
        <w:pStyle w:val="Normal1"/>
        <w:spacing w:lineRule="auto" w:line="360" w:before="0" w:after="0"/>
        <w:jc w:val="both"/>
        <w:rPr>
          <w:sz w:val="24"/>
          <w:szCs w:val="24"/>
        </w:rPr>
      </w:pPr>
      <w:r>
        <w:rPr>
          <w:sz w:val="24"/>
          <w:szCs w:val="24"/>
        </w:rPr>
        <w:t>The net total spillover index quantile τ:</w:t>
      </w:r>
    </w:p>
    <w:p>
      <w:pPr>
        <w:pStyle w:val="Normal1"/>
        <w:spacing w:lineRule="auto" w:line="360" w:before="280" w:after="280"/>
        <w:rPr>
          <w:sz w:val="24"/>
          <w:szCs w:val="24"/>
        </w:rPr>
      </w:pPr>
      <w:r>
        <w:rPr/>
      </w:r>
      <m:oMath xmlns:m="http://schemas.openxmlformats.org/officeDocument/2006/math">
        <m:r>
          <w:rPr>
            <w:rFonts w:ascii="Cambria Math" w:hAnsi="Cambria Math"/>
          </w:rPr>
          <m:t xml:space="preserve">N</m:t>
        </m:r>
        <m:sSub>
          <m:e>
            <m:r>
              <w:rPr>
                <w:rFonts w:ascii="Cambria Math" w:hAnsi="Cambria Math"/>
              </w:rPr>
              <m:t xml:space="preserve">SI</m:t>
            </m:r>
          </m:e>
          <m:sub>
            <m:r>
              <w:rPr>
                <w:rFonts w:ascii="Cambria Math" w:hAnsi="Cambria Math"/>
              </w:rPr>
              <m:t xml:space="preserve">i</m:t>
            </m:r>
          </m:sub>
        </m:sSub>
        <m:d>
          <m:dPr>
            <m:begChr m:val="("/>
            <m:endChr m:val=")"/>
          </m:dPr>
          <m:e>
            <m:r>
              <w:rPr>
                <w:rFonts w:ascii="Cambria Math" w:hAnsi="Cambria Math"/>
              </w:rPr>
              <m:t xml:space="preserve">τ</m:t>
            </m:r>
          </m:e>
        </m:d>
        <m:r>
          <w:rPr>
            <w:rFonts w:ascii="Cambria Math" w:hAnsi="Cambria Math"/>
          </w:rPr>
          <m:t xml:space="preserve">=</m:t>
        </m:r>
        <m:sSub>
          <m:e>
            <m:r>
              <w:rPr>
                <w:rFonts w:ascii="Cambria Math" w:hAnsi="Cambria Math"/>
              </w:rPr>
              <m:t xml:space="preserve">SI</m:t>
            </m:r>
          </m:e>
          <m:sub>
            <m:r>
              <w:rPr>
                <w:rFonts w:ascii="Cambria Math" w:hAnsi="Cambria Math"/>
              </w:rPr>
              <m:t xml:space="preserve">ij</m:t>
            </m:r>
          </m:sub>
        </m:sSub>
        <m:d>
          <m:dPr>
            <m:begChr m:val="("/>
            <m:endChr m:val=")"/>
          </m:dPr>
          <m:e>
            <m:r>
              <w:rPr>
                <w:rFonts w:ascii="Cambria Math" w:hAnsi="Cambria Math"/>
              </w:rPr>
              <m:t xml:space="preserve">τ</m:t>
            </m:r>
          </m:e>
        </m:d>
        <m:r>
          <w:rPr>
            <w:rFonts w:ascii="Cambria Math" w:hAnsi="Cambria Math"/>
          </w:rPr>
          <m:t xml:space="preserve">−</m:t>
        </m:r>
        <m:sSub>
          <m:e>
            <m:r>
              <w:rPr>
                <w:rFonts w:ascii="Cambria Math" w:hAnsi="Cambria Math"/>
              </w:rPr>
              <m:t xml:space="preserve">SI</m:t>
            </m:r>
          </m:e>
          <m:sub>
            <m:r>
              <w:rPr>
                <w:rFonts w:ascii="Cambria Math" w:hAnsi="Cambria Math"/>
              </w:rPr>
              <m:t xml:space="preserve">ij</m:t>
            </m:r>
          </m:sub>
        </m:sSub>
        <m:d>
          <m:dPr>
            <m:begChr m:val="("/>
            <m:endChr m:val=")"/>
          </m:dPr>
          <m:e>
            <m:r>
              <w:rPr>
                <w:rFonts w:ascii="Cambria Math" w:hAnsi="Cambria Math"/>
              </w:rPr>
              <m:t xml:space="preserve">τ</m:t>
            </m:r>
          </m:e>
        </m:d>
      </m:oMath>
      <w:r>
        <w:rPr>
          <w:sz w:val="24"/>
          <w:szCs w:val="24"/>
        </w:rPr>
        <w:t xml:space="preserve">                                                                                                    </w:t>
      </w:r>
      <w:r>
        <w:rPr>
          <w:sz w:val="24"/>
          <w:szCs w:val="24"/>
        </w:rPr>
        <w:t xml:space="preserve">(9) </w:t>
      </w:r>
    </w:p>
    <w:p>
      <w:pPr>
        <w:pStyle w:val="Normal1"/>
        <w:spacing w:lineRule="auto" w:line="360" w:before="280" w:after="280"/>
        <w:jc w:val="both"/>
        <w:rPr>
          <w:sz w:val="24"/>
          <w:szCs w:val="24"/>
        </w:rPr>
      </w:pPr>
      <w:r>
        <w:rPr>
          <w:sz w:val="24"/>
          <w:szCs w:val="24"/>
        </w:rPr>
        <w:t xml:space="preserve">The lag order of the quantile VARs is selected based on SIC. It is equal to 1 for the quantile-VAR of return series and 2 for the quantile-VAR of volatility series. As for the forecast horizon (H), we use 10 days. </w:t>
      </w:r>
    </w:p>
    <w:p>
      <w:pPr>
        <w:pStyle w:val="Normal1"/>
        <w:spacing w:lineRule="auto" w:line="360" w:before="280" w:after="280"/>
        <w:jc w:val="both"/>
        <w:rPr>
          <w:sz w:val="24"/>
          <w:szCs w:val="24"/>
        </w:rPr>
      </w:pPr>
      <w:r>
        <w:rPr>
          <w:sz w:val="24"/>
          <w:szCs w:val="24"/>
        </w:rPr>
        <w:t xml:space="preserve">Furthermore, we conduct a time-varying spillover analysis (Diebold and Yilmaz (2014) based on a rolling window of 200 days. To assess the robustness of our results, we use a fixed window length of 200 days and a 5-step forecast horizon and show that our spillover results remain almost the same, suggesting their robustness to the window size and forecast horizon. These results are not reported here but are available on request from the authors. </w:t>
      </w:r>
      <w:r>
        <w:rPr>
          <w:sz w:val="24"/>
          <w:szCs w:val="24"/>
          <w:highlight w:val="yellow"/>
        </w:rPr>
        <w:t>(If needed, I can add these results to Appendix)</w:t>
      </w:r>
      <w:r>
        <w:rPr>
          <w:sz w:val="24"/>
          <w:szCs w:val="24"/>
        </w:rPr>
        <w:t>.</w:t>
      </w:r>
    </w:p>
    <w:p>
      <w:pPr>
        <w:pStyle w:val="Normal1"/>
        <w:spacing w:lineRule="auto" w:line="360" w:before="280" w:after="28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3. Results</w:t>
      </w:r>
    </w:p>
    <w:p>
      <w:pPr>
        <w:pStyle w:val="Normal1"/>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 xml:space="preserve">3.1. Results of return spillovers </w:t>
      </w:r>
      <w:r>
        <w:rPr>
          <w:b/>
          <w:sz w:val="24"/>
          <w:szCs w:val="24"/>
        </w:rPr>
        <w:t>estimated at the middle and extreme (upper and lower) quantiles</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bookmarkStart w:id="3" w:name="_heading=h.3znysh7"/>
      <w:bookmarkStart w:id="4" w:name="_heading=h.3znysh7"/>
      <w:bookmarkEnd w:id="4"/>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3.2. Results of volatility spillovers estimated at the middle and extreme (upper and lower) quantiles</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4. Conclusion</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References</w:t>
      </w:r>
    </w:p>
    <w:p>
      <w:pPr>
        <w:pStyle w:val="Normal1"/>
        <w:spacing w:lineRule="auto" w:line="360" w:before="120" w:after="120"/>
        <w:jc w:val="both"/>
        <w:rPr>
          <w:sz w:val="24"/>
          <w:szCs w:val="24"/>
        </w:rPr>
      </w:pPr>
      <w:r>
        <w:rPr>
          <w:sz w:val="24"/>
          <w:szCs w:val="24"/>
        </w:rPr>
        <w:t>Ando, T., Greenwood-Nimmo, M., &amp; Shin, Y. (2022). Quantile Connectedness: Modeling Tail Behavior in the Topology of Financial Networks. Management Science, 68(4), 2401-2431.</w:t>
      </w:r>
    </w:p>
    <w:p>
      <w:pPr>
        <w:pStyle w:val="Normal1"/>
        <w:spacing w:lineRule="auto" w:line="360" w:before="120" w:after="120"/>
        <w:jc w:val="both"/>
        <w:rPr>
          <w:sz w:val="24"/>
          <w:szCs w:val="24"/>
        </w:rPr>
      </w:pPr>
      <w:r>
        <w:rPr>
          <w:sz w:val="24"/>
          <w:szCs w:val="24"/>
        </w:rPr>
        <w:t>Bouri, E., Lucey B., Saeed, T., &amp; Vo X.V. (2020). Extreme spillovers across Asian-Pacific currencies: A quantile-based analysis. International Review of Financial Analysis, 72, 101605.</w:t>
      </w:r>
    </w:p>
    <w:p>
      <w:pPr>
        <w:pStyle w:val="Normal1"/>
        <w:spacing w:lineRule="auto" w:line="360" w:before="120" w:after="120"/>
        <w:jc w:val="both"/>
        <w:rPr>
          <w:sz w:val="24"/>
          <w:szCs w:val="24"/>
        </w:rPr>
      </w:pPr>
      <w:r>
        <w:rPr>
          <w:sz w:val="24"/>
          <w:szCs w:val="24"/>
        </w:rPr>
        <w:t>Chatziantoniou, I., Gabauer, D., &amp; Stenfors, A. (2021). Interest rate swaps and the transmission mechanism of monetary policy: A quantile connectedness approach. Economics Letters, 204, 109891.</w:t>
      </w:r>
    </w:p>
    <w:p>
      <w:pPr>
        <w:pStyle w:val="Normal1"/>
        <w:spacing w:lineRule="auto" w:line="360" w:before="120" w:after="120"/>
        <w:jc w:val="both"/>
        <w:rPr>
          <w:sz w:val="24"/>
          <w:szCs w:val="24"/>
        </w:rPr>
      </w:pPr>
      <w:r>
        <w:rPr>
          <w:sz w:val="24"/>
          <w:szCs w:val="24"/>
        </w:rPr>
        <w:t>Diebold, F. X., &amp; Yılmaz, K. (2014). On the network topology of variance decompositions: Measuring the connectedness of financial firms. Journal of Econometrics, 182(1), 119-134.</w:t>
      </w:r>
    </w:p>
    <w:p>
      <w:pPr>
        <w:pStyle w:val="Normal1"/>
        <w:spacing w:lineRule="auto" w:line="360" w:before="120" w:after="120"/>
        <w:jc w:val="both"/>
        <w:rPr>
          <w:sz w:val="24"/>
          <w:szCs w:val="24"/>
        </w:rPr>
      </w:pPr>
      <w:r>
        <w:rPr>
          <w:sz w:val="24"/>
          <w:szCs w:val="24"/>
        </w:rPr>
        <w:t>Federle, J., Meier, A., Müller, G.J. and Sehn, V., 2022. Proximity to War: The stock market response to the Russian invasion of Ukraine.</w:t>
      </w:r>
    </w:p>
    <w:p>
      <w:pPr>
        <w:pStyle w:val="Normal1"/>
        <w:spacing w:lineRule="auto" w:line="360" w:before="120" w:after="120"/>
        <w:jc w:val="both"/>
        <w:rPr>
          <w:sz w:val="24"/>
          <w:szCs w:val="24"/>
        </w:rPr>
      </w:pPr>
      <w:r>
        <w:rPr>
          <w:sz w:val="24"/>
          <w:szCs w:val="24"/>
        </w:rPr>
        <w:t xml:space="preserve">Koenker, R. (2005). Quantile Regression (Econometric Society Monographs). Cambridge University Press. Cambridge, UK. https://doi.org/10.1017/CBO9780511754098. </w:t>
      </w:r>
    </w:p>
    <w:p>
      <w:pPr>
        <w:pStyle w:val="Normal1"/>
        <w:spacing w:lineRule="auto" w:line="360" w:before="120" w:after="120"/>
        <w:jc w:val="both"/>
        <w:rPr>
          <w:sz w:val="24"/>
          <w:szCs w:val="24"/>
        </w:rPr>
      </w:pPr>
      <w:r>
        <w:rPr>
          <w:sz w:val="24"/>
          <w:szCs w:val="24"/>
        </w:rPr>
        <w:t>McDonald, J.E. and Kendall, W.R., 1994. Measuring the economic effects of political events: War and the US defense industry. Journal of Applied Business Research (JABR), 10(1), pp.57-61.</w:t>
      </w:r>
    </w:p>
    <w:p>
      <w:pPr>
        <w:pStyle w:val="Normal1"/>
        <w:spacing w:lineRule="auto" w:line="360" w:before="120" w:after="120"/>
        <w:jc w:val="both"/>
        <w:rPr>
          <w:sz w:val="24"/>
          <w:szCs w:val="24"/>
        </w:rPr>
      </w:pPr>
      <w:r>
        <w:rPr>
          <w:sz w:val="24"/>
          <w:szCs w:val="24"/>
        </w:rPr>
        <w:t>Saeed, T., Bouri, E., &amp; Alsulami, H. (2021). Extreme return connectedness and its determinants between clean/green and dirty energy investments. Energy Economics, 96, 105017.</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sectPr>
          <w:footnotePr>
            <w:numFmt w:val="decimal"/>
          </w:footnotePr>
          <w:type w:val="nextPage"/>
          <w:pgSz w:w="12240" w:h="15840"/>
          <w:pgMar w:left="1440" w:right="1440" w:gutter="0" w:header="0" w:top="1440" w:footer="0" w:bottom="1440"/>
          <w:pgNumType w:start="1" w:fmt="decimal"/>
          <w:formProt w:val="false"/>
          <w:textDirection w:val="lrTb"/>
          <w:docGrid w:type="default" w:linePitch="100" w:charSpace="4096"/>
        </w:sect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80" w:after="2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1a. Daily returns of the 21 global defense and aerospace companies</w:t>
      </w:r>
    </w:p>
    <w:p>
      <w:pPr>
        <w:pStyle w:val="Normal1"/>
        <w:jc w:val="center"/>
        <w:rPr>
          <w:rFonts w:ascii="Times New Roman" w:hAnsi="Times New Roman" w:eastAsia="Times New Roman" w:cs="Times New Roman"/>
          <w:b/>
          <w:b/>
          <w:sz w:val="24"/>
          <w:szCs w:val="24"/>
        </w:rPr>
      </w:pPr>
      <w:r>
        <w:rPr/>
        <w:object>
          <v:shapetype id="_x0000_tole_rId2" coordsize="21600,21600" o:spt="ole_rId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 type="_x0000_tole_rId2" style="width:467.8pt;height:300.5pt;mso-wrap-distance-right:0pt" filled="f" o:ole="">
            <v:imagedata r:id="rId3" o:title=""/>
          </v:shape>
          <o:OLEObject Type="Embed" ProgID="EViews.Workfile.2" ShapeID="ole_rId2" DrawAspect="Content" ObjectID="_2073672182" r:id="rId2"/>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1b. Daily volatility of the 21 global defense and aerospace companies</w:t>
      </w:r>
    </w:p>
    <w:p>
      <w:pPr>
        <w:pStyle w:val="Normal1"/>
        <w:jc w:val="center"/>
        <w:rPr>
          <w:rFonts w:ascii="Times New Roman" w:hAnsi="Times New Roman" w:eastAsia="Times New Roman" w:cs="Times New Roman"/>
          <w:b/>
          <w:b/>
          <w:sz w:val="24"/>
          <w:szCs w:val="24"/>
        </w:rPr>
      </w:pPr>
      <w:r>
        <w:rPr/>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511.1pt;height:327.55pt;mso-wrap-distance-right:0pt" filled="f" o:ole="">
            <v:imagedata r:id="rId5" o:title=""/>
          </v:shape>
          <o:OLEObject Type="Embed" ProgID="EViews.Workfile.2" ShapeID="ole_rId4" DrawAspect="Content" ObjectID="_1738093290" r:id="rId4"/>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1a. Summary statistics of daily returns</w:t>
      </w:r>
    </w:p>
    <w:tbl>
      <w:tblPr>
        <w:tblStyle w:val="Table1"/>
        <w:tblW w:w="12359" w:type="dxa"/>
        <w:jc w:val="center"/>
        <w:tblInd w:w="0" w:type="dxa"/>
        <w:tblLayout w:type="fixed"/>
        <w:tblCellMar>
          <w:top w:w="0" w:type="dxa"/>
          <w:left w:w="108" w:type="dxa"/>
          <w:bottom w:w="0" w:type="dxa"/>
          <w:right w:w="108" w:type="dxa"/>
        </w:tblCellMar>
        <w:tblLook w:val="0400"/>
      </w:tblPr>
      <w:tblGrid>
        <w:gridCol w:w="3905"/>
        <w:gridCol w:w="711"/>
        <w:gridCol w:w="745"/>
        <w:gridCol w:w="656"/>
        <w:gridCol w:w="710"/>
        <w:gridCol w:w="856"/>
        <w:gridCol w:w="887"/>
        <w:gridCol w:w="800"/>
        <w:gridCol w:w="1028"/>
        <w:gridCol w:w="1031"/>
        <w:gridCol w:w="1028"/>
      </w:tblGrid>
      <w:tr>
        <w:trPr>
          <w:trHeight w:val="245" w:hRule="atLeast"/>
        </w:trPr>
        <w:tc>
          <w:tcPr>
            <w:tcW w:w="390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1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Mean</w:t>
            </w:r>
          </w:p>
        </w:tc>
        <w:tc>
          <w:tcPr>
            <w:tcW w:w="74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Median</w:t>
            </w:r>
          </w:p>
        </w:tc>
        <w:tc>
          <w:tcPr>
            <w:tcW w:w="65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Max</w:t>
            </w:r>
          </w:p>
        </w:tc>
        <w:tc>
          <w:tcPr>
            <w:tcW w:w="71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Min</w:t>
            </w:r>
          </w:p>
        </w:tc>
        <w:tc>
          <w:tcPr>
            <w:tcW w:w="85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Std. Dev.</w:t>
            </w:r>
          </w:p>
        </w:tc>
        <w:tc>
          <w:tcPr>
            <w:tcW w:w="88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Skewness</w:t>
            </w:r>
          </w:p>
        </w:tc>
        <w:tc>
          <w:tcPr>
            <w:tcW w:w="80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Kurtosis</w:t>
            </w:r>
          </w:p>
        </w:tc>
        <w:tc>
          <w:tcPr>
            <w:tcW w:w="102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Jarque-Bera</w:t>
            </w:r>
          </w:p>
        </w:tc>
        <w:tc>
          <w:tcPr>
            <w:tcW w:w="103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ADF</w:t>
            </w:r>
          </w:p>
        </w:tc>
        <w:tc>
          <w:tcPr>
            <w:tcW w:w="102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PP</w:t>
            </w:r>
          </w:p>
        </w:tc>
      </w:tr>
      <w:tr>
        <w:trPr>
          <w:trHeight w:val="170" w:hRule="atLeast"/>
        </w:trPr>
        <w:tc>
          <w:tcPr>
            <w:tcW w:w="3905" w:type="dxa"/>
            <w:tcBorders>
              <w:top w:val="single" w:sz="4" w:space="0" w:color="000000"/>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RAYTHEON_TECHNOLOGIES</w:t>
            </w:r>
          </w:p>
        </w:tc>
        <w:tc>
          <w:tcPr>
            <w:tcW w:w="711"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0.1463</w:t>
            </w:r>
          </w:p>
        </w:tc>
        <w:tc>
          <w:tcPr>
            <w:tcW w:w="710"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-0.1564</w:t>
            </w:r>
          </w:p>
        </w:tc>
        <w:tc>
          <w:tcPr>
            <w:tcW w:w="856"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0.0157</w:t>
            </w:r>
          </w:p>
        </w:tc>
        <w:tc>
          <w:tcPr>
            <w:tcW w:w="887"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-0.3658</w:t>
            </w:r>
          </w:p>
        </w:tc>
        <w:tc>
          <w:tcPr>
            <w:tcW w:w="800"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18.8916</w:t>
            </w:r>
          </w:p>
        </w:tc>
        <w:tc>
          <w:tcPr>
            <w:tcW w:w="1028" w:type="dxa"/>
            <w:tcBorders>
              <w:top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32636.5***</w:t>
            </w:r>
          </w:p>
        </w:tc>
        <w:tc>
          <w:tcPr>
            <w:tcW w:w="1031" w:type="dxa"/>
            <w:tcBorders>
              <w:top w:val="single" w:sz="4" w:space="0" w:color="000000"/>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-21.2901***</w:t>
            </w:r>
          </w:p>
        </w:tc>
        <w:tc>
          <w:tcPr>
            <w:tcW w:w="1028" w:type="dxa"/>
            <w:tcBorders>
              <w:top w:val="single" w:sz="4" w:space="0" w:color="000000"/>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-56.4338***</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LOCKHEED_MARTIN</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0.1019</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-0.1365</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0.0132</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-0.7847</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18.2347</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30248.2***</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-56.5766***</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-56.7477***</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0.2177</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-0.2724</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0.0226</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-0.5643</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26.2666</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69973.9***</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-18.1156***</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-52.3339***</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0.1862</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-0.2506</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0.0222</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-0.3905</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16.9639</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25224.5***</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-41.3354***</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-53.1875***</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NORTHROP_GRUMMAN</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0.1222</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-0.1070</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0.0142</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-0.1678</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10.8567</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7974.9***</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-57.6092***</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-57.9145***</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GENERAL_DYNAMICS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0.0875</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-0.1157</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0.0138</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-0.4154</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9.2145</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5069.4***</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-56.0303***</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-56.0601***</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L3HARRIS_TECHNOLOGIES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0.1122</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-0.1543</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0.0156</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-0.3236</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13.3721</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13927.4***</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-37.8971***</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-58.3311***</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0.1901</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-0.2597</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0.0208</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-0.5873</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23.2326</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52968.0</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-27.1859***</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-54.0423***</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TRANSDIGM_GROUP</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0.2184</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-0.2481</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0.0204</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-0.8467</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26.8661</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73823.1</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-27.2219***</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-58.6233***</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BAE_SYSTEMS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0.1009</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-0.0870</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0.0145</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0.0418</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7.8111</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2985.9</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-54.9012***</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-54.8972***</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0.1285</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-0.1195</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0.0157</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0.3395</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10.4513</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7219.4</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-52.8929***</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-52.8478***</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AECC_AVIATION_POWER__A_</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0.0955</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-0.1055</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0.0283</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-0.0139</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6.3355</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1434.8</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-50.3413***</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-50.2565***</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0.0009</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0.1420</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-0.1789</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0.0198</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0.2280</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11.1453</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8582.7</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-37.9681***</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-57.4079***</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AVIC_SHENYANG_AIRCRAFT__A_</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0.0973</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-0.1062</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0.0317</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-0.1037</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5.3171</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697.9</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-50.4755***</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-50.432***</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0.1502</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-0.1879</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0.0215</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-0.3143</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13.2261</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13536.4</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-56.7672***</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-56.7572***</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HOWMET_AEROSPACE</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0.2339</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-0.2311</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0.0250</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-0.3118</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13.7557</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14968.7</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-55.6534***</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-55.6534***</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AVIC_XI_AN_AIRCRAFT_INDUSTRY_GROUP__A_</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0.0958</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-0.1056</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0.0274</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-0.1139</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6.1919</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1320.5</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-51.6737***</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-51.6765***</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DASSAULT_AVIATION</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0.1694</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-0.1213</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0.0177</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0.2804</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10.4996</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7293.6</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-59.0881***</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-59.3442***</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MTU_AERO_ENGINES__XET__HLDG_</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0.1538</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-0.1694</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0.0196</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-0.2349</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14.6874</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17643.4</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-53.5665***</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-53.5378***</w:t>
            </w:r>
          </w:p>
        </w:tc>
      </w:tr>
      <w:tr>
        <w:trPr>
          <w:trHeight w:val="273" w:hRule="atLeast"/>
        </w:trPr>
        <w:tc>
          <w:tcPr>
            <w:tcW w:w="3905"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ROLLS_ROYCE_HOLDINGS</w:t>
            </w:r>
          </w:p>
        </w:tc>
        <w:tc>
          <w:tcPr>
            <w:tcW w:w="711"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0.3630</w:t>
            </w:r>
          </w:p>
        </w:tc>
        <w:tc>
          <w:tcPr>
            <w:tcW w:w="71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-0.2177</w:t>
            </w:r>
          </w:p>
        </w:tc>
        <w:tc>
          <w:tcPr>
            <w:tcW w:w="856"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0.0263</w:t>
            </w:r>
          </w:p>
        </w:tc>
        <w:tc>
          <w:tcPr>
            <w:tcW w:w="887"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0.8073</w:t>
            </w:r>
          </w:p>
        </w:tc>
        <w:tc>
          <w:tcPr>
            <w:tcW w:w="800"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25.6142</w:t>
            </w:r>
          </w:p>
        </w:tc>
        <w:tc>
          <w:tcPr>
            <w:tcW w:w="1028" w:type="dxa"/>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66286.0</w:t>
            </w:r>
          </w:p>
        </w:tc>
        <w:tc>
          <w:tcPr>
            <w:tcW w:w="1031"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-42.2588***</w:t>
            </w:r>
          </w:p>
        </w:tc>
        <w:tc>
          <w:tcPr>
            <w:tcW w:w="1028" w:type="dxa"/>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-53.3912***</w:t>
            </w:r>
          </w:p>
        </w:tc>
      </w:tr>
      <w:tr>
        <w:trPr>
          <w:trHeight w:val="207" w:hRule="atLeast"/>
        </w:trPr>
        <w:tc>
          <w:tcPr>
            <w:tcW w:w="3905" w:type="dxa"/>
            <w:tcBorders>
              <w:bottom w:val="single" w:sz="4" w:space="0" w:color="000000"/>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SINGAPORE_TECHS_ENGR_</w:t>
            </w:r>
          </w:p>
        </w:tc>
        <w:tc>
          <w:tcPr>
            <w:tcW w:w="711"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745"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0.0841</w:t>
            </w:r>
          </w:p>
        </w:tc>
        <w:tc>
          <w:tcPr>
            <w:tcW w:w="710"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-0.1045</w:t>
            </w:r>
          </w:p>
        </w:tc>
        <w:tc>
          <w:tcPr>
            <w:tcW w:w="856"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0.0121</w:t>
            </w:r>
          </w:p>
        </w:tc>
        <w:tc>
          <w:tcPr>
            <w:tcW w:w="887"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-0.2655</w:t>
            </w:r>
          </w:p>
        </w:tc>
        <w:tc>
          <w:tcPr>
            <w:tcW w:w="800"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9.6055</w:t>
            </w:r>
          </w:p>
        </w:tc>
        <w:tc>
          <w:tcPr>
            <w:tcW w:w="1028" w:type="dxa"/>
            <w:tcBorders>
              <w:bottom w:val="single" w:sz="4" w:space="0" w:color="000000"/>
            </w:tcBorders>
            <w:shd w:fill="auto" w:val="clear"/>
            <w:vAlign w:val="center"/>
          </w:tcPr>
          <w:p>
            <w:pPr>
              <w:pStyle w:val="Normal1"/>
              <w:widowControl w:val="false"/>
              <w:spacing w:lineRule="auto" w:line="240" w:before="0" w:after="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5663.1</w:t>
            </w:r>
          </w:p>
        </w:tc>
        <w:tc>
          <w:tcPr>
            <w:tcW w:w="1031" w:type="dxa"/>
            <w:tcBorders>
              <w:bottom w:val="single" w:sz="4" w:space="0" w:color="000000"/>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-58.7849***</w:t>
            </w:r>
          </w:p>
        </w:tc>
        <w:tc>
          <w:tcPr>
            <w:tcW w:w="1028" w:type="dxa"/>
            <w:tcBorders>
              <w:bottom w:val="single" w:sz="4" w:space="0" w:color="000000"/>
            </w:tcBorders>
            <w:shd w:fill="auto" w:val="clear"/>
            <w:vAlign w:val="center"/>
          </w:tcPr>
          <w:p>
            <w:pPr>
              <w:pStyle w:val="Normal1"/>
              <w:widowControl w:val="false"/>
              <w:spacing w:before="0" w:after="160"/>
              <w:jc w:val="center"/>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-58.7819***</w:t>
            </w:r>
          </w:p>
        </w:tc>
      </w:tr>
    </w:tbl>
    <w:p>
      <w:pPr>
        <w:pStyle w:val="Normal1"/>
        <w:rPr>
          <w:rFonts w:ascii="Times New Roman" w:hAnsi="Times New Roman" w:eastAsia="Times New Roman" w:cs="Times New Roman"/>
          <w:sz w:val="16"/>
          <w:szCs w:val="16"/>
        </w:rPr>
      </w:pPr>
      <w:r>
        <w:rPr>
          <w:rFonts w:eastAsia="Times New Roman" w:cs="Times New Roman" w:ascii="Times New Roman" w:hAnsi="Times New Roman"/>
          <w:sz w:val="16"/>
          <w:szCs w:val="16"/>
        </w:rPr>
        <w:t xml:space="preserve">Notes: The sample period is 23 August 2010 – July 1, 2022, yielding 3095 daily return observations. ADF (Augmented Dickey-Fuller) and PP (Phillips-Perron) stationarity tests. They are conducted with a constant. The lag length is selected based on SIC. *** indicates statistical significance at the 1% level.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1b. Summary statistics of daily volatility</w:t>
      </w:r>
    </w:p>
    <w:tbl>
      <w:tblPr>
        <w:tblStyle w:val="Table2"/>
        <w:tblW w:w="12268" w:type="dxa"/>
        <w:jc w:val="center"/>
        <w:tblInd w:w="0" w:type="dxa"/>
        <w:tblLayout w:type="fixed"/>
        <w:tblCellMar>
          <w:top w:w="0" w:type="dxa"/>
          <w:left w:w="108" w:type="dxa"/>
          <w:bottom w:w="0" w:type="dxa"/>
          <w:right w:w="108" w:type="dxa"/>
        </w:tblCellMar>
        <w:tblLook w:val="0400"/>
      </w:tblPr>
      <w:tblGrid>
        <w:gridCol w:w="3906"/>
        <w:gridCol w:w="656"/>
        <w:gridCol w:w="745"/>
        <w:gridCol w:w="656"/>
        <w:gridCol w:w="655"/>
        <w:gridCol w:w="856"/>
        <w:gridCol w:w="889"/>
        <w:gridCol w:w="815"/>
        <w:gridCol w:w="1030"/>
        <w:gridCol w:w="1029"/>
        <w:gridCol w:w="1029"/>
      </w:tblGrid>
      <w:tr>
        <w:trPr>
          <w:trHeight w:val="245" w:hRule="atLeast"/>
        </w:trPr>
        <w:tc>
          <w:tcPr>
            <w:tcW w:w="390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5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Mean</w:t>
            </w:r>
          </w:p>
        </w:tc>
        <w:tc>
          <w:tcPr>
            <w:tcW w:w="74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Median</w:t>
            </w:r>
          </w:p>
        </w:tc>
        <w:tc>
          <w:tcPr>
            <w:tcW w:w="65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Max</w:t>
            </w:r>
          </w:p>
        </w:tc>
        <w:tc>
          <w:tcPr>
            <w:tcW w:w="65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Min</w:t>
            </w:r>
          </w:p>
        </w:tc>
        <w:tc>
          <w:tcPr>
            <w:tcW w:w="85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Std. Dev.</w:t>
            </w:r>
          </w:p>
        </w:tc>
        <w:tc>
          <w:tcPr>
            <w:tcW w:w="88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Skewness</w:t>
            </w:r>
          </w:p>
        </w:tc>
        <w:tc>
          <w:tcPr>
            <w:tcW w:w="81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Kurtosis</w:t>
            </w:r>
          </w:p>
        </w:tc>
        <w:tc>
          <w:tcPr>
            <w:tcW w:w="103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 </w:t>
            </w:r>
            <w:r>
              <w:rPr>
                <w:rFonts w:eastAsia="Times New Roman" w:cs="Times New Roman" w:ascii="Times New Roman" w:hAnsi="Times New Roman"/>
                <w:color w:val="000000"/>
                <w:sz w:val="16"/>
                <w:szCs w:val="16"/>
              </w:rPr>
              <w:t>Jarque-Bera</w:t>
            </w:r>
          </w:p>
        </w:tc>
        <w:tc>
          <w:tcPr>
            <w:tcW w:w="10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ADF</w:t>
            </w:r>
          </w:p>
        </w:tc>
        <w:tc>
          <w:tcPr>
            <w:tcW w:w="10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PP</w:t>
            </w:r>
          </w:p>
        </w:tc>
      </w:tr>
      <w:tr>
        <w:trPr>
          <w:trHeight w:val="170" w:hRule="atLeast"/>
        </w:trPr>
        <w:tc>
          <w:tcPr>
            <w:tcW w:w="3906" w:type="dxa"/>
            <w:tcBorders>
              <w:top w:val="single" w:sz="4" w:space="0" w:color="000000"/>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RAYTHEON_TECHNOLOGIES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0.0245</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0.0010</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14.3977</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270.2230</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9315605</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-8.8644***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-71.0605***</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LOCKHEED_MARTIN</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0.0186</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16.4325</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350.1678</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15682053</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-10.8166***</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-57.4850***</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0.0742</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0.0026</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16.0817</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339.0628</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14697726</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-9.4739***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-59.9743***</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0.0628</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0.0020</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17.2260</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424.2219</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23033869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-11.5572***</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-65.0529***</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NORTHROP_GRUMMAN</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0.0149</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11.4526</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195.7092</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4856762</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-10.5620***</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-55.0415***</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GENERAL_DYNAMICS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0.0134</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10.7424</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180.7454</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4133764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-9.4617***</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-64.1503***</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L3HARRIS_TECHNOLOGIES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0.0238</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0.0009</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13.5332</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273.2503</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9512974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-11.8003***</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-53.9115***</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0.0675</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0.0020</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19.3285</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499.2195</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31946613</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-11.6048***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-62.0761***</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TRANSDIGM_GROUP</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0.0616</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0.0021</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16.7444</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377.0165</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18184391</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-8.6389***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-55.6789***</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BAE_SYSTEMS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0.0102</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9.3253</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129.7845</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2117775</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-16.0119***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-50.1728***</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0.0165</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0.0008</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11.6051</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190.9520</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4625049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-16.3795***</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-60.5916***</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AECC_AVIATION_POWER__A_</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0.0008</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0.0111</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0.0018</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3.8458</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18.4539</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38428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-9.8441***</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-62.2551***</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0.0320</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0.0013</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11.4285</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201.3856</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5142764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-9.5040***</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-65.6277***</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AVIC_SHENYANG_AIRCRAFT__A_</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0.0010</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0.0113</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0.0021</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3.2338</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13.5866</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19848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-10.2645***</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-62.4013***</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0.0005</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0.0353</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0.0016</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10.1877</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141.4459</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2525317</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-10.6989***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-55.9341***</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HOWMET_AEROSPACE</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0.0006</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0.0547</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0.0022</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13.6603</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265.6162</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8990159</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-15.2603***</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-62.3260***</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AVIC_XI_AN_AIRCRAFT_INDUSTRY_GROUP__A_</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0.0002</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0.0111</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0.0017</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4.0915</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21.3110</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51874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-10.7828***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-60.2592***</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DASSAULT_AVIATION</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0.0003</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0.0287</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0.0010</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12.8240</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286.0500</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10416628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-12.8417***</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-55.6529***</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MTU_AERO_ENGINES__XET__HLDG_</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0.0287</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0.0014</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11.7559</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179.1791</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4074035</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-9.3358***</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-66.7664***</w:t>
            </w:r>
          </w:p>
        </w:tc>
      </w:tr>
      <w:tr>
        <w:trPr>
          <w:trHeight w:val="273" w:hRule="atLeast"/>
        </w:trPr>
        <w:tc>
          <w:tcPr>
            <w:tcW w:w="3906" w:type="dxa"/>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ROLLS_ROYCE_HOLDINGS</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0.0007</w:t>
            </w:r>
          </w:p>
        </w:tc>
        <w:tc>
          <w:tcPr>
            <w:tcW w:w="74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6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0.1318</w:t>
            </w:r>
          </w:p>
        </w:tc>
        <w:tc>
          <w:tcPr>
            <w:tcW w:w="65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0.0034</w:t>
            </w:r>
          </w:p>
        </w:tc>
        <w:tc>
          <w:tcPr>
            <w:tcW w:w="88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21.7076</w:t>
            </w:r>
          </w:p>
        </w:tc>
        <w:tc>
          <w:tcPr>
            <w:tcW w:w="815"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718.3667</w:t>
            </w:r>
          </w:p>
        </w:tc>
        <w:tc>
          <w:tcPr>
            <w:tcW w:w="1030"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66237434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-5.3944***</w:t>
            </w:r>
          </w:p>
        </w:tc>
        <w:tc>
          <w:tcPr>
            <w:tcW w:w="1029" w:type="dxa"/>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-63.2794***</w:t>
            </w:r>
          </w:p>
        </w:tc>
      </w:tr>
      <w:tr>
        <w:trPr>
          <w:trHeight w:val="207" w:hRule="atLeast"/>
        </w:trPr>
        <w:tc>
          <w:tcPr>
            <w:tcW w:w="3906" w:type="dxa"/>
            <w:tcBorders>
              <w:bottom w:val="single" w:sz="4" w:space="0" w:color="000000"/>
            </w:tcBorders>
            <w:shd w:fill="auto" w:val="clear"/>
            <w:vAlign w:val="center"/>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SINGAPORE_TECHS_ENGR_</w:t>
            </w:r>
          </w:p>
        </w:tc>
        <w:tc>
          <w:tcPr>
            <w:tcW w:w="656"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0.0001</w:t>
            </w:r>
          </w:p>
        </w:tc>
        <w:tc>
          <w:tcPr>
            <w:tcW w:w="745"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656"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0.0109</w:t>
            </w:r>
          </w:p>
        </w:tc>
        <w:tc>
          <w:tcPr>
            <w:tcW w:w="655"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0.0000</w:t>
            </w:r>
          </w:p>
        </w:tc>
        <w:tc>
          <w:tcPr>
            <w:tcW w:w="856"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0.0004</w:t>
            </w:r>
          </w:p>
        </w:tc>
        <w:tc>
          <w:tcPr>
            <w:tcW w:w="889"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13.5671</w:t>
            </w:r>
          </w:p>
        </w:tc>
        <w:tc>
          <w:tcPr>
            <w:tcW w:w="815"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279.9223</w:t>
            </w:r>
          </w:p>
        </w:tc>
        <w:tc>
          <w:tcPr>
            <w:tcW w:w="1030"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9984241</w:t>
            </w:r>
          </w:p>
        </w:tc>
        <w:tc>
          <w:tcPr>
            <w:tcW w:w="1029"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-12.0964***</w:t>
            </w:r>
          </w:p>
        </w:tc>
        <w:tc>
          <w:tcPr>
            <w:tcW w:w="1029" w:type="dxa"/>
            <w:tcBorders>
              <w:bottom w:val="single" w:sz="4" w:space="0" w:color="000000"/>
            </w:tcBorders>
            <w:shd w:fill="auto" w:val="clear"/>
            <w:vAlign w:val="bottom"/>
          </w:tcPr>
          <w:p>
            <w:pPr>
              <w:pStyle w:val="Normal1"/>
              <w:widowControl w:val="false"/>
              <w:spacing w:before="0" w:after="16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-67.2677***</w:t>
            </w:r>
          </w:p>
        </w:tc>
      </w:tr>
    </w:tbl>
    <w:p>
      <w:pPr>
        <w:pStyle w:val="Normal1"/>
        <w:rPr>
          <w:rFonts w:ascii="Times New Roman" w:hAnsi="Times New Roman" w:eastAsia="Times New Roman" w:cs="Times New Roman"/>
          <w:sz w:val="16"/>
          <w:szCs w:val="16"/>
        </w:rPr>
      </w:pPr>
      <w:r>
        <w:rPr>
          <w:rFonts w:eastAsia="Times New Roman" w:cs="Times New Roman" w:ascii="Times New Roman" w:hAnsi="Times New Roman"/>
          <w:sz w:val="16"/>
          <w:szCs w:val="16"/>
        </w:rPr>
        <w:t xml:space="preserve">Notes: The sample period is 23 August 2010 – July 1, 2022, yielding 3095 daily volatility observations. Volatility is computed as squared returns. ADF (Augmented Dickey-Fuller) and PP (Phillips-Perron) stationarity tests. They are conducted with a constant. The lag length is selected based on SIC. *** indicates statistical significance at the 1% level. </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2. Correlation matrix of daily returns</w:t>
      </w:r>
    </w:p>
    <w:tbl>
      <w:tblPr>
        <w:tblStyle w:val="Table3"/>
        <w:tblW w:w="31679" w:type="dxa"/>
        <w:jc w:val="left"/>
        <w:tblInd w:w="0" w:type="dxa"/>
        <w:tblLayout w:type="fixed"/>
        <w:tblCellMar>
          <w:top w:w="0" w:type="dxa"/>
          <w:left w:w="108" w:type="dxa"/>
          <w:bottom w:w="0" w:type="dxa"/>
          <w:right w:w="108" w:type="dxa"/>
        </w:tblCellMar>
        <w:tblLook w:val="0400"/>
      </w:tblPr>
      <w:tblGrid>
        <w:gridCol w:w="2813"/>
        <w:gridCol w:w="1751"/>
        <w:gridCol w:w="1325"/>
        <w:gridCol w:w="643"/>
        <w:gridCol w:w="627"/>
        <w:gridCol w:w="1483"/>
        <w:gridCol w:w="1397"/>
        <w:gridCol w:w="1669"/>
        <w:gridCol w:w="662"/>
        <w:gridCol w:w="1324"/>
        <w:gridCol w:w="1005"/>
        <w:gridCol w:w="649"/>
        <w:gridCol w:w="1825"/>
        <w:gridCol w:w="560"/>
        <w:gridCol w:w="2031"/>
        <w:gridCol w:w="741"/>
        <w:gridCol w:w="1439"/>
        <w:gridCol w:w="2816"/>
        <w:gridCol w:w="1410"/>
        <w:gridCol w:w="2182"/>
        <w:gridCol w:w="1644"/>
        <w:gridCol w:w="1673"/>
      </w:tblGrid>
      <w:tr>
        <w:trPr>
          <w:trHeight w:val="290" w:hRule="atLeast"/>
        </w:trPr>
        <w:tc>
          <w:tcPr>
            <w:tcW w:w="28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RAYTHEON_TECHNOLOGIES</w:t>
            </w:r>
          </w:p>
        </w:tc>
        <w:tc>
          <w:tcPr>
            <w:tcW w:w="132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LOCKHEED_MARTIN</w:t>
            </w:r>
          </w:p>
        </w:tc>
        <w:tc>
          <w:tcPr>
            <w:tcW w:w="64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62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48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NORTHROP_GRUMMAN</w:t>
            </w:r>
          </w:p>
        </w:tc>
        <w:tc>
          <w:tcPr>
            <w:tcW w:w="139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GENERAL_DYNAMICS</w:t>
            </w:r>
          </w:p>
        </w:tc>
        <w:tc>
          <w:tcPr>
            <w:tcW w:w="166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L3HARRIS_TECHNOLOGIES</w:t>
            </w:r>
          </w:p>
        </w:tc>
        <w:tc>
          <w:tcPr>
            <w:tcW w:w="66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2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TRANSDIGM_GROUP</w:t>
            </w:r>
          </w:p>
        </w:tc>
        <w:tc>
          <w:tcPr>
            <w:tcW w:w="100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BAE_SYSTEMS</w:t>
            </w:r>
          </w:p>
        </w:tc>
        <w:tc>
          <w:tcPr>
            <w:tcW w:w="64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82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AECC_AVIATION_POWER__A_</w:t>
            </w:r>
          </w:p>
        </w:tc>
        <w:tc>
          <w:tcPr>
            <w:tcW w:w="56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203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AVIC_SHENYANG_AIRCRAFT__A_</w:t>
            </w:r>
          </w:p>
        </w:tc>
        <w:tc>
          <w:tcPr>
            <w:tcW w:w="74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3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HOWMET_AEROSPACE</w:t>
            </w:r>
          </w:p>
        </w:tc>
        <w:tc>
          <w:tcPr>
            <w:tcW w:w="28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AVIC_XI_AN_AIRCRAFT_INDUSTRY_GROUP__A_</w:t>
            </w:r>
          </w:p>
        </w:tc>
        <w:tc>
          <w:tcPr>
            <w:tcW w:w="141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DASSAULT_AVIATION</w:t>
            </w:r>
          </w:p>
        </w:tc>
        <w:tc>
          <w:tcPr>
            <w:tcW w:w="218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MTU_AERO_ENGINES__XET__HLDG_</w:t>
            </w:r>
          </w:p>
        </w:tc>
        <w:tc>
          <w:tcPr>
            <w:tcW w:w="164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ROLLS_ROYCE_HOLDINGS</w:t>
            </w:r>
          </w:p>
        </w:tc>
        <w:tc>
          <w:tcPr>
            <w:tcW w:w="167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SINGAPORE_TECHS_ENGR_</w:t>
            </w:r>
          </w:p>
        </w:tc>
      </w:tr>
      <w:tr>
        <w:trPr>
          <w:trHeight w:val="290" w:hRule="atLeast"/>
        </w:trPr>
        <w:tc>
          <w:tcPr>
            <w:tcW w:w="28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RAYTHEON_TECHNOLOGIES</w:t>
            </w:r>
          </w:p>
        </w:tc>
        <w:tc>
          <w:tcPr>
            <w:tcW w:w="17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32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64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27"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8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7"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6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LOCKHEED_MARTIN</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0.5721</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62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8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6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0.6757</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0.4818</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48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6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0.4719</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0.2533</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0.4602</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39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6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NORTHROP_GRUMMAN</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0.5701</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0.7858</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0.4480</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0.2503</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6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GENERAL_DYNAMICS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0.7033</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0.6894</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0.5622</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0.3929</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0.6957</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66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L3HARRIS_TECHNOLOGIES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0.5760</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0.6359</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0.4578</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0.2853</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0.6543</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0.6191</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32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0.4873</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0.2477</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0.4748</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0.7302</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0.2381</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0.3862</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0.2981</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00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TRANSDIGM_GROUP</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0.6204</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0.4090</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0.5924</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0.4517</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0.4000</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0.5317</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0.4385</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0.4569</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64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BAE_SYSTEMS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0.3706</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0.3236</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0.3206</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0.4225</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0.3110</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0.3564</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0.3500</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0.4212</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0.2865</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82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0.3992</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0.2758</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0.3678</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0.5541</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0.2725</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0.3429</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0.3169</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0.5490</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0.3415</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0.5083</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56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AECC_AVIATION_POWER__A_</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0.0219</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0.0165</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0.0105</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0.0322</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0.0146</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0.0262</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0.0188</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0.0403</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0.0179</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0.0462</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0.0281</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203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0.6000</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0.4431</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0.5515</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0.3986</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0.4615</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0.5443</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0.4934</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0.3989</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0.5786</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0.2980</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0.3268</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0.0323</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AVIC_SHENYANG_AIRCRAFT__A_</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0.0372</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0.0186</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0.0134</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0.0231</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0.0116</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0.0414</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0.0300</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0.0356</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0.0340</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0.0598</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0.0356</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0.6008</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0.0414</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43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0.6639</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0.5202</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0.6304</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0.3992</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0.5257</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0.6520</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0.5214</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0.4048</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0.5618</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0.3324</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0.3289</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0.0225</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0.5493</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0.0421</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28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HOWMET_AEROSPACE</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0.6116</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0.4045</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0.5640</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0.3708</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0.3892</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0.5235</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0.4511</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0.3629</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0.5028</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0.2776</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0.2900</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0.0395</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0.4700</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0.0490</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0.5885</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410"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AVIC_XI_AN_AIRCRAFT_INDUSTRY_GROUP__A_</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0.0630</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0.0472</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0.0358</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0.0449</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0.0456</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0.0611</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0.0353</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0.0568</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0.0410</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0.0611</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0.0525</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0.7017</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0.0616</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0.6332</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0.0644</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0.0731</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41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218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DASSAULT_AVIATION</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0.3037</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0.1888</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0.3036</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0.3946</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0.1735</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0.2510</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0.2275</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0.3988</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0.2413</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0.2925</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0.4161</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0.0307</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0.2282</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0.0485</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0.2399</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0.2552</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0.0522</w:t>
            </w:r>
          </w:p>
        </w:tc>
        <w:tc>
          <w:tcPr>
            <w:tcW w:w="141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218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44"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MTU_AERO_ENGINES__XET__HLDG_</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0.4754</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0.2420</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0.4404</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0.6940</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0.2249</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0.3623</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0.2747</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0.7070</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0.4360</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0.4194</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0.5431</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0.0292</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0.3730</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0.0358</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0.3737</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0.3580</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0.0453</w:t>
            </w:r>
          </w:p>
        </w:tc>
        <w:tc>
          <w:tcPr>
            <w:tcW w:w="141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0.3846</w:t>
            </w:r>
          </w:p>
        </w:tc>
        <w:tc>
          <w:tcPr>
            <w:tcW w:w="218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6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7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ROLLS_ROYCE_HOLDINGS</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0.3785</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0.1974</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0.3968</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0.5239</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0.1833</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0.2998</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0.2155</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0.5302</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0.3221</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0.3776</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0.4241</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0.0178</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0.3064</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0.0058</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0.3323</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0.3100</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0.0256</w:t>
            </w:r>
          </w:p>
        </w:tc>
        <w:tc>
          <w:tcPr>
            <w:tcW w:w="141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0.3222</w:t>
            </w:r>
          </w:p>
        </w:tc>
        <w:tc>
          <w:tcPr>
            <w:tcW w:w="218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0.5681</w:t>
            </w:r>
          </w:p>
        </w:tc>
        <w:tc>
          <w:tcPr>
            <w:tcW w:w="16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16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r>
        <w:trPr>
          <w:trHeight w:val="290" w:hRule="atLeast"/>
        </w:trPr>
        <w:tc>
          <w:tcPr>
            <w:tcW w:w="28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SINGAPORE_TECHS_ENGR_</w:t>
            </w:r>
          </w:p>
        </w:tc>
        <w:tc>
          <w:tcPr>
            <w:tcW w:w="1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0.1978</w:t>
            </w:r>
          </w:p>
        </w:tc>
        <w:tc>
          <w:tcPr>
            <w:tcW w:w="13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0.1708</w:t>
            </w:r>
          </w:p>
        </w:tc>
        <w:tc>
          <w:tcPr>
            <w:tcW w:w="64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0.1724</w:t>
            </w:r>
          </w:p>
        </w:tc>
        <w:tc>
          <w:tcPr>
            <w:tcW w:w="62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0.2021</w:t>
            </w:r>
          </w:p>
        </w:tc>
        <w:tc>
          <w:tcPr>
            <w:tcW w:w="148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0.1436</w:t>
            </w:r>
          </w:p>
        </w:tc>
        <w:tc>
          <w:tcPr>
            <w:tcW w:w="139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0.1799</w:t>
            </w:r>
          </w:p>
        </w:tc>
        <w:tc>
          <w:tcPr>
            <w:tcW w:w="166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0.1722</w:t>
            </w:r>
          </w:p>
        </w:tc>
        <w:tc>
          <w:tcPr>
            <w:tcW w:w="66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0.2168</w:t>
            </w:r>
          </w:p>
        </w:tc>
        <w:tc>
          <w:tcPr>
            <w:tcW w:w="132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0.1284</w:t>
            </w:r>
          </w:p>
        </w:tc>
        <w:tc>
          <w:tcPr>
            <w:tcW w:w="10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0.2010</w:t>
            </w:r>
          </w:p>
        </w:tc>
        <w:tc>
          <w:tcPr>
            <w:tcW w:w="6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0.1822</w:t>
            </w:r>
          </w:p>
        </w:tc>
        <w:tc>
          <w:tcPr>
            <w:tcW w:w="182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0.0944</w:t>
            </w:r>
          </w:p>
        </w:tc>
        <w:tc>
          <w:tcPr>
            <w:tcW w:w="56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0.1407</w:t>
            </w:r>
          </w:p>
        </w:tc>
        <w:tc>
          <w:tcPr>
            <w:tcW w:w="20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0.0757</w:t>
            </w:r>
          </w:p>
        </w:tc>
        <w:tc>
          <w:tcPr>
            <w:tcW w:w="7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0.1594</w:t>
            </w:r>
          </w:p>
        </w:tc>
        <w:tc>
          <w:tcPr>
            <w:tcW w:w="14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0.1595</w:t>
            </w:r>
          </w:p>
        </w:tc>
        <w:tc>
          <w:tcPr>
            <w:tcW w:w="28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0.1114</w:t>
            </w:r>
          </w:p>
        </w:tc>
        <w:tc>
          <w:tcPr>
            <w:tcW w:w="141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0.1848</w:t>
            </w:r>
          </w:p>
        </w:tc>
        <w:tc>
          <w:tcPr>
            <w:tcW w:w="218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0.2326</w:t>
            </w:r>
          </w:p>
        </w:tc>
        <w:tc>
          <w:tcPr>
            <w:tcW w:w="16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0.1674</w:t>
            </w:r>
          </w:p>
        </w:tc>
        <w:tc>
          <w:tcPr>
            <w:tcW w:w="16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r>
      <w:tr>
        <w:trPr>
          <w:trHeight w:val="290" w:hRule="atLeast"/>
        </w:trPr>
        <w:tc>
          <w:tcPr>
            <w:tcW w:w="281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751"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5"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27"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8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7"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69"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62"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24"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005"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649"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825"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560"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031"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41"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39"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816"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0"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82"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4"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7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bl>
    <w:p>
      <w:pPr>
        <w:pStyle w:val="Normal1"/>
        <w:rPr>
          <w:rFonts w:ascii="Times New Roman" w:hAnsi="Times New Roman" w:eastAsia="Times New Roman" w:cs="Times New Roman"/>
          <w:sz w:val="16"/>
          <w:szCs w:val="16"/>
        </w:rPr>
      </w:pPr>
      <w:r>
        <w:rPr>
          <w:rFonts w:eastAsia="Times New Roman" w:cs="Times New Roman" w:ascii="Times New Roman" w:hAnsi="Times New Roman"/>
          <w:sz w:val="16"/>
          <w:szCs w:val="16"/>
        </w:rPr>
        <w:t>The sample period is 23 August 2010 – July 1, 2022.</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2. Correlation matrix of daily volatility</w:t>
      </w:r>
    </w:p>
    <w:tbl>
      <w:tblPr>
        <w:tblStyle w:val="Table4"/>
        <w:tblW w:w="31680" w:type="dxa"/>
        <w:jc w:val="left"/>
        <w:tblInd w:w="0" w:type="dxa"/>
        <w:tblLayout w:type="fixed"/>
        <w:tblCellMar>
          <w:top w:w="0" w:type="dxa"/>
          <w:left w:w="108" w:type="dxa"/>
          <w:bottom w:w="0" w:type="dxa"/>
          <w:right w:w="108" w:type="dxa"/>
        </w:tblCellMar>
        <w:tblLook w:val="0400"/>
      </w:tblPr>
      <w:tblGrid>
        <w:gridCol w:w="2762"/>
        <w:gridCol w:w="1720"/>
        <w:gridCol w:w="1302"/>
        <w:gridCol w:w="729"/>
        <w:gridCol w:w="729"/>
        <w:gridCol w:w="1457"/>
        <w:gridCol w:w="1378"/>
        <w:gridCol w:w="1635"/>
        <w:gridCol w:w="728"/>
        <w:gridCol w:w="1302"/>
        <w:gridCol w:w="989"/>
        <w:gridCol w:w="728"/>
        <w:gridCol w:w="1793"/>
        <w:gridCol w:w="729"/>
        <w:gridCol w:w="1996"/>
        <w:gridCol w:w="732"/>
        <w:gridCol w:w="1413"/>
        <w:gridCol w:w="2759"/>
        <w:gridCol w:w="1391"/>
        <w:gridCol w:w="2141"/>
        <w:gridCol w:w="1616"/>
        <w:gridCol w:w="1641"/>
      </w:tblGrid>
      <w:tr>
        <w:trPr>
          <w:trHeight w:val="290" w:hRule="atLeast"/>
        </w:trPr>
        <w:tc>
          <w:tcPr>
            <w:tcW w:w="276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2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RAYTHEON_TECHNOLOGIES </w:t>
            </w:r>
          </w:p>
        </w:tc>
        <w:tc>
          <w:tcPr>
            <w:tcW w:w="130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LOCKHEED_MARTIN </w:t>
            </w:r>
          </w:p>
        </w:tc>
        <w:tc>
          <w:tcPr>
            <w:tcW w:w="7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BOEING </w:t>
            </w:r>
          </w:p>
        </w:tc>
        <w:tc>
          <w:tcPr>
            <w:tcW w:w="7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AIRBUS </w:t>
            </w:r>
          </w:p>
        </w:tc>
        <w:tc>
          <w:tcPr>
            <w:tcW w:w="145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NORTHROP_GRUMMAN </w:t>
            </w:r>
          </w:p>
        </w:tc>
        <w:tc>
          <w:tcPr>
            <w:tcW w:w="137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GENERAL_DYNAMICS </w:t>
            </w:r>
          </w:p>
        </w:tc>
        <w:tc>
          <w:tcPr>
            <w:tcW w:w="163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L3HARRIS_TECHNOLOGIES </w:t>
            </w:r>
          </w:p>
        </w:tc>
        <w:tc>
          <w:tcPr>
            <w:tcW w:w="72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SAFRAN </w:t>
            </w:r>
          </w:p>
        </w:tc>
        <w:tc>
          <w:tcPr>
            <w:tcW w:w="130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TRANSDIGM_GROUP </w:t>
            </w:r>
          </w:p>
        </w:tc>
        <w:tc>
          <w:tcPr>
            <w:tcW w:w="98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BAE_SYSTEMS </w:t>
            </w:r>
          </w:p>
        </w:tc>
        <w:tc>
          <w:tcPr>
            <w:tcW w:w="72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THALES </w:t>
            </w:r>
          </w:p>
        </w:tc>
        <w:tc>
          <w:tcPr>
            <w:tcW w:w="179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AECC_AVIATION_POWER__A_ </w:t>
            </w:r>
          </w:p>
        </w:tc>
        <w:tc>
          <w:tcPr>
            <w:tcW w:w="7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HEICO </w:t>
            </w:r>
          </w:p>
        </w:tc>
        <w:tc>
          <w:tcPr>
            <w:tcW w:w="199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AVIC_SHENYANG_AIRCRAFT__A_ </w:t>
            </w:r>
          </w:p>
        </w:tc>
        <w:tc>
          <w:tcPr>
            <w:tcW w:w="73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TEXTRON </w:t>
            </w:r>
          </w:p>
        </w:tc>
        <w:tc>
          <w:tcPr>
            <w:tcW w:w="14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HOWMET_AEROSPACE </w:t>
            </w:r>
          </w:p>
        </w:tc>
        <w:tc>
          <w:tcPr>
            <w:tcW w:w="275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AVIC_XI_AN_AIRCRAFT_INDUSTRY_GROUP__A_ </w:t>
            </w:r>
          </w:p>
        </w:tc>
        <w:tc>
          <w:tcPr>
            <w:tcW w:w="139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DASSAULT_AVIATION </w:t>
            </w:r>
          </w:p>
        </w:tc>
        <w:tc>
          <w:tcPr>
            <w:tcW w:w="214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MTU_AERO_ENGINES__XET__HLDG_ </w:t>
            </w:r>
          </w:p>
        </w:tc>
        <w:tc>
          <w:tcPr>
            <w:tcW w:w="16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ROLLS_ROYCE_HOLDINGS </w:t>
            </w:r>
          </w:p>
        </w:tc>
        <w:tc>
          <w:tcPr>
            <w:tcW w:w="164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SINGAPORE_TECHS_ENGR_ </w:t>
            </w:r>
          </w:p>
        </w:tc>
      </w:tr>
      <w:tr>
        <w:trPr>
          <w:trHeight w:val="290" w:hRule="atLeast"/>
        </w:trPr>
        <w:tc>
          <w:tcPr>
            <w:tcW w:w="2762"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RAYTHEON_TECHNOLOGIES </w:t>
            </w:r>
          </w:p>
        </w:tc>
        <w:tc>
          <w:tcPr>
            <w:tcW w:w="172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30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2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57"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78"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35"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LOCKHEED_MARTIN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0.436</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5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7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3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BOEING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0.791</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0.599</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457"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7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3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AIRBUS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0.537</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0.395</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0.498</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37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3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NORTHROP_GRUMMAN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0.394</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0.676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0.432</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0.328</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35"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GENERAL_DYNAMICS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0.633</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0.661</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0.551</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0.608</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L3HARRIS_TECHNOLOGIES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0.423</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0.655</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0.525</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0.278</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0.613</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0.562</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30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SAFRAN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0.634</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0.621</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0.792</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0.268</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0.556</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0.318</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98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TRANSDIGM_GROUP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0.572</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0.580</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0.394</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0.503</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0.582</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28"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BAE_SYSTEMS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0.346</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0.270</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0.264</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0.355</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0.381</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0.191</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79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THALES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0.337</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0.432</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0.433</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0.348</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2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AECC_AVIATION_POWER__A_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0.012</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0.020</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0.008</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-0.008</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99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HEICO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0.591</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0.604</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0.435</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0.540</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0.483</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0.403</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0.527</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0.247</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0.364</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732"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AVIC_SHENYANG_AIRCRAFT__A_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-0.004</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0.018</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-0.005</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-0.002</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0.004</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0.541</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413"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TEXTRON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0.421</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0.399</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0.585</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0.371</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0.412</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0.341</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0.318</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0.340</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0.397</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0.004</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2759"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HOWMET_AEROSPACE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0.536</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0.479</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0.395</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0.242</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0.413</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0.309</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0.478</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0.329</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0.385</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-0.004</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0.410</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0.008</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0.351</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27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39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AVIC_XI_AN_AIRCRAFT_INDUSTRY_GROUP__A_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0.007</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0.013</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0.014</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0.032</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0.015</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0.020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0.009</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0.003</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0.006</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0.604</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-0.005</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0.572</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0.005</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0.007</w:t>
            </w:r>
          </w:p>
        </w:tc>
        <w:tc>
          <w:tcPr>
            <w:tcW w:w="27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39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21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DASSAULT_AVIATION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0.297</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0.332</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0.353</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0.250</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0.359</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0.328</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0.322</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0.227</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0.365</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0.000</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0.274</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-0.007</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0.284</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0.268</w:t>
            </w:r>
          </w:p>
        </w:tc>
        <w:tc>
          <w:tcPr>
            <w:tcW w:w="27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w:t>
            </w:r>
          </w:p>
        </w:tc>
        <w:tc>
          <w:tcPr>
            <w:tcW w:w="139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21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16"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MTU_AERO_ENGINES__XET__HLDG_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0.618</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0.428</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0.734</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0.354</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0.551</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0.321</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0.693</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0.600</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0.538</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0.005</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0.430</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-0.004</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0.374</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0.385</w:t>
            </w:r>
          </w:p>
        </w:tc>
        <w:tc>
          <w:tcPr>
            <w:tcW w:w="27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0.010</w:t>
            </w:r>
          </w:p>
        </w:tc>
        <w:tc>
          <w:tcPr>
            <w:tcW w:w="139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0.302</w:t>
            </w:r>
          </w:p>
        </w:tc>
        <w:tc>
          <w:tcPr>
            <w:tcW w:w="21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6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c>
          <w:tcPr>
            <w:tcW w:w="1641" w:type="dxa"/>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r>
      <w:tr>
        <w:trPr>
          <w:trHeight w:val="290" w:hRule="atLeast"/>
        </w:trPr>
        <w:tc>
          <w:tcPr>
            <w:tcW w:w="2762"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ROLLS_ROYCE_HOLDINGS </w:t>
            </w:r>
          </w:p>
        </w:tc>
        <w:tc>
          <w:tcPr>
            <w:tcW w:w="17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0.328</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0.177</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0.306</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0.388</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0.134</w:t>
            </w:r>
          </w:p>
        </w:tc>
        <w:tc>
          <w:tcPr>
            <w:tcW w:w="13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0.244</w:t>
            </w:r>
          </w:p>
        </w:tc>
        <w:tc>
          <w:tcPr>
            <w:tcW w:w="163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0.310</w:t>
            </w:r>
          </w:p>
        </w:tc>
        <w:tc>
          <w:tcPr>
            <w:tcW w:w="13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0.199</w:t>
            </w:r>
          </w:p>
        </w:tc>
        <w:tc>
          <w:tcPr>
            <w:tcW w:w="98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0.164</w:t>
            </w:r>
          </w:p>
        </w:tc>
        <w:tc>
          <w:tcPr>
            <w:tcW w:w="72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0.410</w:t>
            </w:r>
          </w:p>
        </w:tc>
        <w:tc>
          <w:tcPr>
            <w:tcW w:w="179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-0.003</w:t>
            </w:r>
          </w:p>
        </w:tc>
        <w:tc>
          <w:tcPr>
            <w:tcW w:w="7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0.222</w:t>
            </w:r>
          </w:p>
        </w:tc>
        <w:tc>
          <w:tcPr>
            <w:tcW w:w="199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0.001</w:t>
            </w:r>
          </w:p>
        </w:tc>
        <w:tc>
          <w:tcPr>
            <w:tcW w:w="7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0.231</w:t>
            </w:r>
          </w:p>
        </w:tc>
        <w:tc>
          <w:tcPr>
            <w:tcW w:w="141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0.272</w:t>
            </w:r>
          </w:p>
        </w:tc>
        <w:tc>
          <w:tcPr>
            <w:tcW w:w="27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0.012</w:t>
            </w:r>
          </w:p>
        </w:tc>
        <w:tc>
          <w:tcPr>
            <w:tcW w:w="139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0.193</w:t>
            </w:r>
          </w:p>
        </w:tc>
        <w:tc>
          <w:tcPr>
            <w:tcW w:w="21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0.464</w:t>
            </w:r>
          </w:p>
        </w:tc>
        <w:tc>
          <w:tcPr>
            <w:tcW w:w="16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c>
          <w:tcPr>
            <w:tcW w:w="164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r>
        <w:trPr>
          <w:trHeight w:val="290" w:hRule="atLeast"/>
        </w:trPr>
        <w:tc>
          <w:tcPr>
            <w:tcW w:w="2762"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 xml:space="preserve">SINGAPORE_TECHS_ENGR_ </w:t>
            </w:r>
          </w:p>
        </w:tc>
        <w:tc>
          <w:tcPr>
            <w:tcW w:w="172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0.361</w:t>
            </w:r>
          </w:p>
        </w:tc>
        <w:tc>
          <w:tcPr>
            <w:tcW w:w="130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0.367</w:t>
            </w:r>
          </w:p>
        </w:tc>
        <w:tc>
          <w:tcPr>
            <w:tcW w:w="7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0.404</w:t>
            </w:r>
          </w:p>
        </w:tc>
        <w:tc>
          <w:tcPr>
            <w:tcW w:w="7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0.203</w:t>
            </w:r>
          </w:p>
        </w:tc>
        <w:tc>
          <w:tcPr>
            <w:tcW w:w="145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0.304</w:t>
            </w:r>
          </w:p>
        </w:tc>
        <w:tc>
          <w:tcPr>
            <w:tcW w:w="137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0.341</w:t>
            </w:r>
          </w:p>
        </w:tc>
        <w:tc>
          <w:tcPr>
            <w:tcW w:w="163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0.335</w:t>
            </w:r>
          </w:p>
        </w:tc>
        <w:tc>
          <w:tcPr>
            <w:tcW w:w="72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0.273</w:t>
            </w:r>
          </w:p>
        </w:tc>
        <w:tc>
          <w:tcPr>
            <w:tcW w:w="130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0.315</w:t>
            </w:r>
          </w:p>
        </w:tc>
        <w:tc>
          <w:tcPr>
            <w:tcW w:w="98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0.223</w:t>
            </w:r>
          </w:p>
        </w:tc>
        <w:tc>
          <w:tcPr>
            <w:tcW w:w="72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0.214</w:t>
            </w:r>
          </w:p>
        </w:tc>
        <w:tc>
          <w:tcPr>
            <w:tcW w:w="179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0.042</w:t>
            </w:r>
          </w:p>
        </w:tc>
        <w:tc>
          <w:tcPr>
            <w:tcW w:w="7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0.313</w:t>
            </w:r>
          </w:p>
        </w:tc>
        <w:tc>
          <w:tcPr>
            <w:tcW w:w="199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0.043</w:t>
            </w:r>
          </w:p>
        </w:tc>
        <w:tc>
          <w:tcPr>
            <w:tcW w:w="73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0.179</w:t>
            </w:r>
          </w:p>
        </w:tc>
        <w:tc>
          <w:tcPr>
            <w:tcW w:w="141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0.209</w:t>
            </w:r>
          </w:p>
        </w:tc>
        <w:tc>
          <w:tcPr>
            <w:tcW w:w="275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0.060</w:t>
            </w:r>
          </w:p>
        </w:tc>
        <w:tc>
          <w:tcPr>
            <w:tcW w:w="139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0.247</w:t>
            </w:r>
          </w:p>
        </w:tc>
        <w:tc>
          <w:tcPr>
            <w:tcW w:w="214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0.426</w:t>
            </w:r>
          </w:p>
        </w:tc>
        <w:tc>
          <w:tcPr>
            <w:tcW w:w="16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0.104</w:t>
            </w:r>
          </w:p>
        </w:tc>
        <w:tc>
          <w:tcPr>
            <w:tcW w:w="164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1.000</w:t>
            </w:r>
          </w:p>
        </w:tc>
      </w:tr>
    </w:tbl>
    <w:p>
      <w:pPr>
        <w:pStyle w:val="Normal1"/>
        <w:rPr>
          <w:rFonts w:ascii="Times New Roman" w:hAnsi="Times New Roman" w:eastAsia="Times New Roman" w:cs="Times New Roman"/>
          <w:sz w:val="16"/>
          <w:szCs w:val="16"/>
        </w:rPr>
      </w:pPr>
      <w:r>
        <w:rPr>
          <w:rFonts w:eastAsia="Times New Roman" w:cs="Times New Roman" w:ascii="Times New Roman" w:hAnsi="Times New Roman"/>
          <w:sz w:val="16"/>
          <w:szCs w:val="16"/>
        </w:rPr>
        <w:t>The sample period is 23 August 2010 – July 1, 2022.</w:t>
      </w:r>
    </w:p>
    <w:p>
      <w:pPr>
        <w:pStyle w:val="Normal1"/>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r>
    </w:p>
    <w:p>
      <w:pPr>
        <w:pStyle w:val="Normal1"/>
        <w:jc w:val="center"/>
        <w:rPr>
          <w:b/>
          <w:b/>
          <w:sz w:val="24"/>
          <w:szCs w:val="24"/>
        </w:rPr>
      </w:pPr>
      <w:bookmarkStart w:id="5" w:name="_heading=h.2et92p0"/>
      <w:bookmarkEnd w:id="5"/>
      <w:r>
        <w:rPr>
          <w:b/>
          <w:sz w:val="24"/>
          <w:szCs w:val="24"/>
        </w:rPr>
        <w:t>Table 3. Return spillovers estimated at the middle quantile (τ = 0.50)</w:t>
      </w:r>
    </w:p>
    <w:tbl>
      <w:tblPr>
        <w:tblStyle w:val="Table5"/>
        <w:tblW w:w="31680" w:type="dxa"/>
        <w:jc w:val="left"/>
        <w:tblInd w:w="0" w:type="dxa"/>
        <w:tblLayout w:type="fixed"/>
        <w:tblCellMar>
          <w:top w:w="0" w:type="dxa"/>
          <w:left w:w="108" w:type="dxa"/>
          <w:bottom w:w="0" w:type="dxa"/>
          <w:right w:w="108" w:type="dxa"/>
        </w:tblCellMar>
        <w:tblLook w:val="0400"/>
      </w:tblPr>
      <w:tblGrid>
        <w:gridCol w:w="2667"/>
        <w:gridCol w:w="1780"/>
        <w:gridCol w:w="1337"/>
        <w:gridCol w:w="659"/>
        <w:gridCol w:w="646"/>
        <w:gridCol w:w="1502"/>
        <w:gridCol w:w="1416"/>
        <w:gridCol w:w="1698"/>
        <w:gridCol w:w="678"/>
        <w:gridCol w:w="1340"/>
        <w:gridCol w:w="1008"/>
        <w:gridCol w:w="665"/>
        <w:gridCol w:w="1723"/>
        <w:gridCol w:w="605"/>
        <w:gridCol w:w="1939"/>
        <w:gridCol w:w="764"/>
        <w:gridCol w:w="1457"/>
        <w:gridCol w:w="2664"/>
        <w:gridCol w:w="1432"/>
        <w:gridCol w:w="2072"/>
        <w:gridCol w:w="1242"/>
        <w:gridCol w:w="1651"/>
        <w:gridCol w:w="731"/>
      </w:tblGrid>
      <w:tr>
        <w:trPr>
          <w:trHeight w:val="294" w:hRule="atLeast"/>
        </w:trPr>
        <w:tc>
          <w:tcPr>
            <w:tcW w:w="266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8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33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65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64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50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4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69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67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4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00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66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2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60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93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76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5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266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43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207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24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6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73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FROM others</w:t>
            </w:r>
          </w:p>
        </w:tc>
      </w:tr>
      <w:tr>
        <w:trPr>
          <w:trHeight w:val="294" w:hRule="atLeast"/>
        </w:trPr>
        <w:tc>
          <w:tcPr>
            <w:tcW w:w="2667"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78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23.12</w:t>
            </w:r>
          </w:p>
        </w:tc>
        <w:tc>
          <w:tcPr>
            <w:tcW w:w="133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6.41</w:t>
            </w:r>
          </w:p>
        </w:tc>
        <w:tc>
          <w:tcPr>
            <w:tcW w:w="65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7.28</w:t>
            </w:r>
          </w:p>
        </w:tc>
        <w:tc>
          <w:tcPr>
            <w:tcW w:w="64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2.82</w:t>
            </w:r>
          </w:p>
        </w:tc>
        <w:tc>
          <w:tcPr>
            <w:tcW w:w="150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6.71</w:t>
            </w:r>
          </w:p>
        </w:tc>
        <w:tc>
          <w:tcPr>
            <w:tcW w:w="141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w:t>
            </w:r>
          </w:p>
        </w:tc>
        <w:tc>
          <w:tcPr>
            <w:tcW w:w="169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5.71</w:t>
            </w:r>
          </w:p>
        </w:tc>
        <w:tc>
          <w:tcPr>
            <w:tcW w:w="67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134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5.36</w:t>
            </w:r>
          </w:p>
        </w:tc>
        <w:tc>
          <w:tcPr>
            <w:tcW w:w="100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2.25</w:t>
            </w:r>
          </w:p>
        </w:tc>
        <w:tc>
          <w:tcPr>
            <w:tcW w:w="66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172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w:t>
            </w:r>
          </w:p>
        </w:tc>
        <w:tc>
          <w:tcPr>
            <w:tcW w:w="60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5.66</w:t>
            </w:r>
          </w:p>
        </w:tc>
        <w:tc>
          <w:tcPr>
            <w:tcW w:w="193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0.24</w:t>
            </w:r>
          </w:p>
        </w:tc>
        <w:tc>
          <w:tcPr>
            <w:tcW w:w="76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7.57</w:t>
            </w:r>
          </w:p>
        </w:tc>
        <w:tc>
          <w:tcPr>
            <w:tcW w:w="145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5.65</w:t>
            </w:r>
          </w:p>
        </w:tc>
        <w:tc>
          <w:tcPr>
            <w:tcW w:w="266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w:t>
            </w:r>
          </w:p>
        </w:tc>
        <w:tc>
          <w:tcPr>
            <w:tcW w:w="143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w:t>
            </w:r>
          </w:p>
        </w:tc>
        <w:tc>
          <w:tcPr>
            <w:tcW w:w="207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124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2.07</w:t>
            </w:r>
          </w:p>
        </w:tc>
        <w:tc>
          <w:tcPr>
            <w:tcW w:w="16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w:t>
            </w:r>
          </w:p>
        </w:tc>
        <w:tc>
          <w:tcPr>
            <w:tcW w:w="73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76.88</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7.22</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25.81</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5.92</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13.52</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10.34</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7.37</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1.59</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3.99</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1.67</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5.55</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3.36</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0.94</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1.47</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74.19</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8.1</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5.94</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26.17</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3.45</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6.37</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6.26</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3.37</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5.15</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2.19</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2.59</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5.22</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7.12</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2.25</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73.83</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3.94</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4.08</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28.74</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2.43</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3.12</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2.76</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10.38</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3.08</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6.58</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0.26</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2.63</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3.49</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5.27</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0.84</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71.26</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7.21</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13.19</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6.13</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1.84</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24.77</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10.56</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7.83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0.25</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0.97</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1.45</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1.12</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0.51</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75.23</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8.92</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9.37</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5.74</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2.51</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9.91</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22.97</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2.22</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1.93</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7.47</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1.53</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77.03</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7.09</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7.96</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2.29</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8.41</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7.77</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28.87</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2.31</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5.21</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4.03</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0.37</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1.96</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1.52</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0.72</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71.13</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2.09</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10.51</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2.39</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2.91</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28.48</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3.08</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6.87</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2.51</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3.75</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8.87</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5.66</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71.52</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6.01</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5.87</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2.99</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1.85</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2.15</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5.71</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0.27</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1.85</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3.85</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3.36</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5.82</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3.25</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3.54</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3.55</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5.31</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2.26</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35.81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6.91</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2.17</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2.75</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64.19</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3.49</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2.34</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3.33</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2.86</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7.68</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33.16</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2.83</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6.85</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0.76</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66.84</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0.64</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0.74</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0.73</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51.64</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15.04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22.08</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0.48</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0.99</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48.36</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7.32</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6.11</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2.77</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5.75</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6.35</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5.51</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2.45</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5.79</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1.92</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2.14</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6.83</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1.34</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2.31</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1.89</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69.75</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0.76</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0.81</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0.78</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15.28</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0.82</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54.83</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0.57</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1.18</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45.17</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8.46</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7.16</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2.69</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6.05</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8.16</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2.19</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2.06</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0.29</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25.41</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5.94</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1.42</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2.35</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0.74</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74.59</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7.58</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4.06</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6.21</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2.74</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4.03</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5.73</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7.28</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34.32</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1.93</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0.93</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65.68</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0.83</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0.76</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0.51</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0.61</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21.46</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16.56</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0.81</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49.82</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0.81</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50.18</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2.81</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1.52</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2.26</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2.08</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3.23</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4.99</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2.19</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0.46</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49.71</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3.05</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1.37</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50.29</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3.98</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9.48</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3.11</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6.32</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2.35</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3.06</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2.43</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3.37</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30.9</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6.14</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69.1</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3.56</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1.73</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3.34</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2.43</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7.02</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5.45</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2.39</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2.58</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7.29</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37.72</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62.28</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3.24</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2.71</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2.22</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2.33</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1.94</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1.86</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2.32</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1.94</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0.97</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0.94</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2.63</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2.52</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1.12</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1.66</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2.09</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58.84</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41.16</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TO others</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99.72</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81.85</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84.6</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75.01</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85.71</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94.55</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74.31</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73.65</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65.41</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53.79</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61.18</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43.98</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67.47</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38.69</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84.98</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62.19</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46.94</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36.82</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67.24</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50.99</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16.61</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1365.69</w:t>
            </w:r>
          </w:p>
        </w:tc>
      </w:tr>
      <w:tr>
        <w:trPr>
          <w:trHeight w:val="294" w:hRule="atLeast"/>
        </w:trPr>
        <w:tc>
          <w:tcPr>
            <w:tcW w:w="2667"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Including own</w:t>
            </w:r>
          </w:p>
        </w:tc>
        <w:tc>
          <w:tcPr>
            <w:tcW w:w="178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122.84</w:t>
            </w:r>
          </w:p>
        </w:tc>
        <w:tc>
          <w:tcPr>
            <w:tcW w:w="133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107.67</w:t>
            </w:r>
          </w:p>
        </w:tc>
        <w:tc>
          <w:tcPr>
            <w:tcW w:w="65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110.77</w:t>
            </w:r>
          </w:p>
        </w:tc>
        <w:tc>
          <w:tcPr>
            <w:tcW w:w="64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103.76</w:t>
            </w:r>
          </w:p>
        </w:tc>
        <w:tc>
          <w:tcPr>
            <w:tcW w:w="150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110.48</w:t>
            </w:r>
          </w:p>
        </w:tc>
        <w:tc>
          <w:tcPr>
            <w:tcW w:w="14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117.52</w:t>
            </w:r>
          </w:p>
        </w:tc>
        <w:tc>
          <w:tcPr>
            <w:tcW w:w="169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103.18</w:t>
            </w:r>
          </w:p>
        </w:tc>
        <w:tc>
          <w:tcPr>
            <w:tcW w:w="67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102.13</w:t>
            </w:r>
          </w:p>
        </w:tc>
        <w:tc>
          <w:tcPr>
            <w:tcW w:w="134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98.41</w:t>
            </w:r>
          </w:p>
        </w:tc>
        <w:tc>
          <w:tcPr>
            <w:tcW w:w="100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89.6</w:t>
            </w:r>
          </w:p>
        </w:tc>
        <w:tc>
          <w:tcPr>
            <w:tcW w:w="66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94.33</w:t>
            </w:r>
          </w:p>
        </w:tc>
        <w:tc>
          <w:tcPr>
            <w:tcW w:w="172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95.62</w:t>
            </w:r>
          </w:p>
        </w:tc>
        <w:tc>
          <w:tcPr>
            <w:tcW w:w="60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97.72</w:t>
            </w:r>
          </w:p>
        </w:tc>
        <w:tc>
          <w:tcPr>
            <w:tcW w:w="193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93.51</w:t>
            </w:r>
          </w:p>
        </w:tc>
        <w:tc>
          <w:tcPr>
            <w:tcW w:w="7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110.39</w:t>
            </w:r>
          </w:p>
        </w:tc>
        <w:tc>
          <w:tcPr>
            <w:tcW w:w="145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96.51</w:t>
            </w:r>
          </w:p>
        </w:tc>
        <w:tc>
          <w:tcPr>
            <w:tcW w:w="266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96.76</w:t>
            </w:r>
          </w:p>
        </w:tc>
        <w:tc>
          <w:tcPr>
            <w:tcW w:w="143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86.53</w:t>
            </w:r>
          </w:p>
        </w:tc>
        <w:tc>
          <w:tcPr>
            <w:tcW w:w="207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98.14</w:t>
            </w:r>
          </w:p>
        </w:tc>
        <w:tc>
          <w:tcPr>
            <w:tcW w:w="124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88.7</w:t>
            </w:r>
          </w:p>
        </w:tc>
        <w:tc>
          <w:tcPr>
            <w:tcW w:w="16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75.45</w:t>
            </w:r>
          </w:p>
        </w:tc>
        <w:tc>
          <w:tcPr>
            <w:tcW w:w="731"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TCI=65.03</w:t>
            </w:r>
          </w:p>
        </w:tc>
      </w:tr>
      <w:tr>
        <w:trPr>
          <w:trHeight w:val="294" w:hRule="atLeast"/>
        </w:trPr>
        <w:tc>
          <w:tcPr>
            <w:tcW w:w="2667"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NET</w:t>
            </w:r>
          </w:p>
        </w:tc>
        <w:tc>
          <w:tcPr>
            <w:tcW w:w="178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22.84</w:t>
            </w:r>
          </w:p>
        </w:tc>
        <w:tc>
          <w:tcPr>
            <w:tcW w:w="133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7.67</w:t>
            </w:r>
          </w:p>
        </w:tc>
        <w:tc>
          <w:tcPr>
            <w:tcW w:w="65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10.77</w:t>
            </w:r>
          </w:p>
        </w:tc>
        <w:tc>
          <w:tcPr>
            <w:tcW w:w="64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3.76</w:t>
            </w:r>
          </w:p>
        </w:tc>
        <w:tc>
          <w:tcPr>
            <w:tcW w:w="150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10.48</w:t>
            </w:r>
          </w:p>
        </w:tc>
        <w:tc>
          <w:tcPr>
            <w:tcW w:w="14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17.52</w:t>
            </w:r>
          </w:p>
        </w:tc>
        <w:tc>
          <w:tcPr>
            <w:tcW w:w="169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3.18</w:t>
            </w:r>
          </w:p>
        </w:tc>
        <w:tc>
          <w:tcPr>
            <w:tcW w:w="67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w:t>
            </w:r>
          </w:p>
        </w:tc>
        <w:tc>
          <w:tcPr>
            <w:tcW w:w="134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-1.59</w:t>
            </w:r>
          </w:p>
        </w:tc>
        <w:tc>
          <w:tcPr>
            <w:tcW w:w="100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w:t>
            </w:r>
          </w:p>
        </w:tc>
        <w:tc>
          <w:tcPr>
            <w:tcW w:w="66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-5.67</w:t>
            </w:r>
          </w:p>
        </w:tc>
        <w:tc>
          <w:tcPr>
            <w:tcW w:w="172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60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w:t>
            </w:r>
          </w:p>
        </w:tc>
        <w:tc>
          <w:tcPr>
            <w:tcW w:w="193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-6.49</w:t>
            </w:r>
          </w:p>
        </w:tc>
        <w:tc>
          <w:tcPr>
            <w:tcW w:w="76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10.39</w:t>
            </w:r>
          </w:p>
        </w:tc>
        <w:tc>
          <w:tcPr>
            <w:tcW w:w="145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-3.49</w:t>
            </w:r>
          </w:p>
        </w:tc>
        <w:tc>
          <w:tcPr>
            <w:tcW w:w="266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-3.24</w:t>
            </w:r>
          </w:p>
        </w:tc>
        <w:tc>
          <w:tcPr>
            <w:tcW w:w="143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-13.47</w:t>
            </w:r>
          </w:p>
        </w:tc>
        <w:tc>
          <w:tcPr>
            <w:tcW w:w="207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-1.86</w:t>
            </w:r>
          </w:p>
        </w:tc>
        <w:tc>
          <w:tcPr>
            <w:tcW w:w="124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w:t>
            </w:r>
          </w:p>
        </w:tc>
        <w:tc>
          <w:tcPr>
            <w:tcW w:w="165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-24.55</w:t>
            </w:r>
          </w:p>
        </w:tc>
        <w:tc>
          <w:tcPr>
            <w:tcW w:w="73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bl>
    <w:p>
      <w:pPr>
        <w:pStyle w:val="Normal1"/>
        <w:jc w:val="center"/>
        <w:rPr>
          <w:b/>
          <w:b/>
          <w:sz w:val="24"/>
          <w:szCs w:val="24"/>
        </w:rPr>
      </w:pPr>
      <w:r>
        <w:rPr>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jc w:val="center"/>
        <w:rPr>
          <w:b/>
          <w:b/>
          <w:sz w:val="24"/>
          <w:szCs w:val="24"/>
        </w:rPr>
      </w:pPr>
      <w:r>
        <w:rPr>
          <w:b/>
          <w:sz w:val="24"/>
          <w:szCs w:val="24"/>
        </w:rPr>
        <w:t>Table 4. Return spillovers estimated at the upper quantile (τ = 0.95)</w:t>
      </w:r>
    </w:p>
    <w:tbl>
      <w:tblPr>
        <w:tblStyle w:val="Table6"/>
        <w:tblW w:w="31680" w:type="dxa"/>
        <w:jc w:val="left"/>
        <w:tblInd w:w="0" w:type="dxa"/>
        <w:tblLayout w:type="fixed"/>
        <w:tblCellMar>
          <w:top w:w="0" w:type="dxa"/>
          <w:left w:w="108" w:type="dxa"/>
          <w:bottom w:w="0" w:type="dxa"/>
          <w:right w:w="108" w:type="dxa"/>
        </w:tblCellMar>
        <w:tblLook w:val="0400"/>
      </w:tblPr>
      <w:tblGrid>
        <w:gridCol w:w="2613"/>
        <w:gridCol w:w="1749"/>
        <w:gridCol w:w="1315"/>
        <w:gridCol w:w="750"/>
        <w:gridCol w:w="748"/>
        <w:gridCol w:w="1473"/>
        <w:gridCol w:w="1394"/>
        <w:gridCol w:w="1663"/>
        <w:gridCol w:w="751"/>
        <w:gridCol w:w="1316"/>
        <w:gridCol w:w="990"/>
        <w:gridCol w:w="748"/>
        <w:gridCol w:w="1695"/>
        <w:gridCol w:w="748"/>
        <w:gridCol w:w="1904"/>
        <w:gridCol w:w="750"/>
        <w:gridCol w:w="1429"/>
        <w:gridCol w:w="2617"/>
        <w:gridCol w:w="1403"/>
        <w:gridCol w:w="2034"/>
        <w:gridCol w:w="1220"/>
        <w:gridCol w:w="1622"/>
        <w:gridCol w:w="744"/>
      </w:tblGrid>
      <w:tr>
        <w:trPr>
          <w:trHeight w:val="290" w:hRule="atLeast"/>
        </w:trPr>
        <w:tc>
          <w:tcPr>
            <w:tcW w:w="26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4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31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47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39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66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7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99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69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90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261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40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203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22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62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74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FROM others</w:t>
            </w:r>
          </w:p>
        </w:tc>
      </w:tr>
      <w:tr>
        <w:trPr>
          <w:trHeight w:val="290" w:hRule="atLeast"/>
        </w:trPr>
        <w:tc>
          <w:tcPr>
            <w:tcW w:w="26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74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w:t>
            </w:r>
          </w:p>
        </w:tc>
        <w:tc>
          <w:tcPr>
            <w:tcW w:w="131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47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139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5.32</w:t>
            </w:r>
          </w:p>
        </w:tc>
        <w:tc>
          <w:tcPr>
            <w:tcW w:w="166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7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31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99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4.45</w:t>
            </w:r>
          </w:p>
        </w:tc>
        <w:tc>
          <w:tcPr>
            <w:tcW w:w="169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90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142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261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140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203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22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62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74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5.44</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7.15</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92.85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7.65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92.35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92.41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92.45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92.76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92.54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TO others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99.41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93.25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97.66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98.04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99.47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93.53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94.21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93.48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93.47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87.39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94.26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85.71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96.37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90.24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89.04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88.19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93.38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88.74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86.59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1951.13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Including own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106.21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100.16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104.63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102.55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106.34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101.01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100.63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95.04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101.31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93.31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103.34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97.13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95.43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100.44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95.79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94.04</w:t>
            </w:r>
          </w:p>
        </w:tc>
        <w:tc>
          <w:tcPr>
            <w:tcW w:w="74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TCI=92.91</w:t>
            </w:r>
          </w:p>
        </w:tc>
      </w:tr>
      <w:tr>
        <w:trPr>
          <w:trHeight w:val="290" w:hRule="atLeast"/>
        </w:trPr>
        <w:tc>
          <w:tcPr>
            <w:tcW w:w="261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NET</w:t>
            </w:r>
          </w:p>
        </w:tc>
        <w:tc>
          <w:tcPr>
            <w:tcW w:w="174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6.21</w:t>
            </w:r>
          </w:p>
        </w:tc>
        <w:tc>
          <w:tcPr>
            <w:tcW w:w="131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0.16</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2.55</w:t>
            </w:r>
          </w:p>
        </w:tc>
        <w:tc>
          <w:tcPr>
            <w:tcW w:w="147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w:t>
            </w:r>
          </w:p>
        </w:tc>
        <w:tc>
          <w:tcPr>
            <w:tcW w:w="139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6.34</w:t>
            </w:r>
          </w:p>
        </w:tc>
        <w:tc>
          <w:tcPr>
            <w:tcW w:w="166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w:t>
            </w:r>
          </w:p>
        </w:tc>
        <w:tc>
          <w:tcPr>
            <w:tcW w:w="75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w:t>
            </w:r>
          </w:p>
        </w:tc>
        <w:tc>
          <w:tcPr>
            <w:tcW w:w="13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99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0.55</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w:t>
            </w:r>
          </w:p>
        </w:tc>
        <w:tc>
          <w:tcPr>
            <w:tcW w:w="169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1.31</w:t>
            </w:r>
          </w:p>
        </w:tc>
        <w:tc>
          <w:tcPr>
            <w:tcW w:w="190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-6.69</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3.34</w:t>
            </w:r>
          </w:p>
        </w:tc>
        <w:tc>
          <w:tcPr>
            <w:tcW w:w="14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261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w:t>
            </w:r>
          </w:p>
        </w:tc>
        <w:tc>
          <w:tcPr>
            <w:tcW w:w="140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203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w:t>
            </w:r>
          </w:p>
        </w:tc>
        <w:tc>
          <w:tcPr>
            <w:tcW w:w="122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162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-5.96</w:t>
            </w:r>
          </w:p>
        </w:tc>
        <w:tc>
          <w:tcPr>
            <w:tcW w:w="74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bl>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t>Table 5. Return spillovers estimated at the lower quantile (τ = 0.05)</w:t>
      </w:r>
    </w:p>
    <w:tbl>
      <w:tblPr>
        <w:tblStyle w:val="Table7"/>
        <w:tblW w:w="31680" w:type="dxa"/>
        <w:jc w:val="left"/>
        <w:tblInd w:w="0" w:type="dxa"/>
        <w:tblLayout w:type="fixed"/>
        <w:tblCellMar>
          <w:top w:w="0" w:type="dxa"/>
          <w:left w:w="108" w:type="dxa"/>
          <w:bottom w:w="0" w:type="dxa"/>
          <w:right w:w="108" w:type="dxa"/>
        </w:tblCellMar>
        <w:tblLook w:val="0400"/>
      </w:tblPr>
      <w:tblGrid>
        <w:gridCol w:w="2613"/>
        <w:gridCol w:w="1749"/>
        <w:gridCol w:w="1315"/>
        <w:gridCol w:w="750"/>
        <w:gridCol w:w="748"/>
        <w:gridCol w:w="1473"/>
        <w:gridCol w:w="1394"/>
        <w:gridCol w:w="1663"/>
        <w:gridCol w:w="751"/>
        <w:gridCol w:w="1316"/>
        <w:gridCol w:w="990"/>
        <w:gridCol w:w="748"/>
        <w:gridCol w:w="1695"/>
        <w:gridCol w:w="748"/>
        <w:gridCol w:w="1904"/>
        <w:gridCol w:w="750"/>
        <w:gridCol w:w="1429"/>
        <w:gridCol w:w="2617"/>
        <w:gridCol w:w="1403"/>
        <w:gridCol w:w="2034"/>
        <w:gridCol w:w="1220"/>
        <w:gridCol w:w="1622"/>
        <w:gridCol w:w="744"/>
      </w:tblGrid>
      <w:tr>
        <w:trPr>
          <w:trHeight w:val="290" w:hRule="atLeast"/>
        </w:trPr>
        <w:tc>
          <w:tcPr>
            <w:tcW w:w="26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4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31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47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39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66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7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99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69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90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261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40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203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22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62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74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FROM others</w:t>
            </w:r>
          </w:p>
        </w:tc>
      </w:tr>
      <w:tr>
        <w:trPr>
          <w:trHeight w:val="290" w:hRule="atLeast"/>
        </w:trPr>
        <w:tc>
          <w:tcPr>
            <w:tcW w:w="26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74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6.88</w:t>
            </w:r>
          </w:p>
        </w:tc>
        <w:tc>
          <w:tcPr>
            <w:tcW w:w="131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47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5.19</w:t>
            </w:r>
          </w:p>
        </w:tc>
        <w:tc>
          <w:tcPr>
            <w:tcW w:w="139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5.34</w:t>
            </w:r>
          </w:p>
        </w:tc>
        <w:tc>
          <w:tcPr>
            <w:tcW w:w="166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5.13</w:t>
            </w:r>
          </w:p>
        </w:tc>
        <w:tc>
          <w:tcPr>
            <w:tcW w:w="7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31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99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4.37</w:t>
            </w:r>
          </w:p>
        </w:tc>
        <w:tc>
          <w:tcPr>
            <w:tcW w:w="169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3.97</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90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4.19</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5.07</w:t>
            </w:r>
          </w:p>
        </w:tc>
        <w:tc>
          <w:tcPr>
            <w:tcW w:w="142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261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140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203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22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162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4.15</w:t>
            </w:r>
          </w:p>
        </w:tc>
        <w:tc>
          <w:tcPr>
            <w:tcW w:w="74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92.89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93.23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92.58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92.45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93.39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92.69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92.65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93.01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92.86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TO others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97.57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99.81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95.68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99.22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98.44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97.33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96.23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93.67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92.79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90.24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84.24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94.56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93.54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92.02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88.45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86.32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92.33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87.78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87.4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1952.36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Including own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104.46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106.93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103.14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102.61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106.11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105.21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104.38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103.09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99.72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91.66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95.97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100.15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99.11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95.77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93.67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99.22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94.77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94.54</w:t>
            </w:r>
          </w:p>
        </w:tc>
        <w:tc>
          <w:tcPr>
            <w:tcW w:w="74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TCI=92.97</w:t>
            </w:r>
          </w:p>
        </w:tc>
      </w:tr>
      <w:tr>
        <w:trPr>
          <w:trHeight w:val="290" w:hRule="atLeast"/>
        </w:trPr>
        <w:tc>
          <w:tcPr>
            <w:tcW w:w="261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NET</w:t>
            </w:r>
          </w:p>
        </w:tc>
        <w:tc>
          <w:tcPr>
            <w:tcW w:w="174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4.46</w:t>
            </w:r>
          </w:p>
        </w:tc>
        <w:tc>
          <w:tcPr>
            <w:tcW w:w="131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6.93</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3.14</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w:t>
            </w:r>
          </w:p>
        </w:tc>
        <w:tc>
          <w:tcPr>
            <w:tcW w:w="147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6.11</w:t>
            </w:r>
          </w:p>
        </w:tc>
        <w:tc>
          <w:tcPr>
            <w:tcW w:w="139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5.21</w:t>
            </w:r>
          </w:p>
        </w:tc>
        <w:tc>
          <w:tcPr>
            <w:tcW w:w="166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75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3.09</w:t>
            </w:r>
          </w:p>
        </w:tc>
        <w:tc>
          <w:tcPr>
            <w:tcW w:w="13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99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-0.28</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w:t>
            </w:r>
          </w:p>
        </w:tc>
        <w:tc>
          <w:tcPr>
            <w:tcW w:w="169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-8.34</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w:t>
            </w:r>
          </w:p>
        </w:tc>
        <w:tc>
          <w:tcPr>
            <w:tcW w:w="190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-4.03</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0.15</w:t>
            </w:r>
          </w:p>
        </w:tc>
        <w:tc>
          <w:tcPr>
            <w:tcW w:w="14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-0.89</w:t>
            </w:r>
          </w:p>
        </w:tc>
        <w:tc>
          <w:tcPr>
            <w:tcW w:w="261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140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-6.33</w:t>
            </w:r>
          </w:p>
        </w:tc>
        <w:tc>
          <w:tcPr>
            <w:tcW w:w="203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-0.78</w:t>
            </w:r>
          </w:p>
        </w:tc>
        <w:tc>
          <w:tcPr>
            <w:tcW w:w="122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w:t>
            </w:r>
          </w:p>
        </w:tc>
        <w:tc>
          <w:tcPr>
            <w:tcW w:w="162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-5.46</w:t>
            </w:r>
          </w:p>
        </w:tc>
        <w:tc>
          <w:tcPr>
            <w:tcW w:w="74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bl>
    <w:p>
      <w:pPr>
        <w:pStyle w:val="Normal1"/>
        <w:jc w:val="center"/>
        <w:rPr>
          <w:b/>
          <w:b/>
          <w:sz w:val="24"/>
          <w:szCs w:val="24"/>
        </w:rPr>
      </w:pPr>
      <w:r>
        <w:rPr>
          <w:b/>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t>Table 3. Volatility spillovers estimated at the middle quantile (τ = 0.50)</w:t>
      </w:r>
    </w:p>
    <w:tbl>
      <w:tblPr>
        <w:tblStyle w:val="Table8"/>
        <w:tblW w:w="31680" w:type="dxa"/>
        <w:jc w:val="left"/>
        <w:tblInd w:w="0" w:type="dxa"/>
        <w:tblLayout w:type="fixed"/>
        <w:tblCellMar>
          <w:top w:w="0" w:type="dxa"/>
          <w:left w:w="108" w:type="dxa"/>
          <w:bottom w:w="0" w:type="dxa"/>
          <w:right w:w="108" w:type="dxa"/>
        </w:tblCellMar>
        <w:tblLook w:val="0400"/>
      </w:tblPr>
      <w:tblGrid>
        <w:gridCol w:w="2613"/>
        <w:gridCol w:w="1749"/>
        <w:gridCol w:w="1315"/>
        <w:gridCol w:w="750"/>
        <w:gridCol w:w="748"/>
        <w:gridCol w:w="1473"/>
        <w:gridCol w:w="1394"/>
        <w:gridCol w:w="1663"/>
        <w:gridCol w:w="751"/>
        <w:gridCol w:w="1316"/>
        <w:gridCol w:w="990"/>
        <w:gridCol w:w="748"/>
        <w:gridCol w:w="1695"/>
        <w:gridCol w:w="748"/>
        <w:gridCol w:w="1904"/>
        <w:gridCol w:w="750"/>
        <w:gridCol w:w="1429"/>
        <w:gridCol w:w="2617"/>
        <w:gridCol w:w="1403"/>
        <w:gridCol w:w="2034"/>
        <w:gridCol w:w="1220"/>
        <w:gridCol w:w="1622"/>
        <w:gridCol w:w="744"/>
      </w:tblGrid>
      <w:tr>
        <w:trPr>
          <w:trHeight w:val="290" w:hRule="atLeast"/>
        </w:trPr>
        <w:tc>
          <w:tcPr>
            <w:tcW w:w="26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4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31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47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39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66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7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99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69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90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261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40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203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22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62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74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FROM others</w:t>
            </w:r>
          </w:p>
        </w:tc>
      </w:tr>
      <w:tr>
        <w:trPr>
          <w:trHeight w:val="290" w:hRule="atLeast"/>
        </w:trPr>
        <w:tc>
          <w:tcPr>
            <w:tcW w:w="26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74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35.93</w:t>
            </w:r>
          </w:p>
        </w:tc>
        <w:tc>
          <w:tcPr>
            <w:tcW w:w="131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5.64</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5.39</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w:t>
            </w:r>
          </w:p>
        </w:tc>
        <w:tc>
          <w:tcPr>
            <w:tcW w:w="147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5.96</w:t>
            </w:r>
          </w:p>
        </w:tc>
        <w:tc>
          <w:tcPr>
            <w:tcW w:w="139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7.91</w:t>
            </w:r>
          </w:p>
        </w:tc>
        <w:tc>
          <w:tcPr>
            <w:tcW w:w="166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3.66</w:t>
            </w:r>
          </w:p>
        </w:tc>
        <w:tc>
          <w:tcPr>
            <w:tcW w:w="7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2.66</w:t>
            </w:r>
          </w:p>
        </w:tc>
        <w:tc>
          <w:tcPr>
            <w:tcW w:w="131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w:t>
            </w:r>
          </w:p>
        </w:tc>
        <w:tc>
          <w:tcPr>
            <w:tcW w:w="99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2.29</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w:t>
            </w:r>
          </w:p>
        </w:tc>
        <w:tc>
          <w:tcPr>
            <w:tcW w:w="169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90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0.35</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3.92</w:t>
            </w:r>
          </w:p>
        </w:tc>
        <w:tc>
          <w:tcPr>
            <w:tcW w:w="142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w:t>
            </w:r>
          </w:p>
        </w:tc>
        <w:tc>
          <w:tcPr>
            <w:tcW w:w="261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w:t>
            </w:r>
          </w:p>
        </w:tc>
        <w:tc>
          <w:tcPr>
            <w:tcW w:w="140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1.72</w:t>
            </w:r>
          </w:p>
        </w:tc>
        <w:tc>
          <w:tcPr>
            <w:tcW w:w="203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2.93</w:t>
            </w:r>
          </w:p>
        </w:tc>
        <w:tc>
          <w:tcPr>
            <w:tcW w:w="122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w:t>
            </w:r>
          </w:p>
        </w:tc>
        <w:tc>
          <w:tcPr>
            <w:tcW w:w="162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0.85</w:t>
            </w:r>
          </w:p>
        </w:tc>
        <w:tc>
          <w:tcPr>
            <w:tcW w:w="74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64.07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39.68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7.82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60.32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37.26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7.69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62.74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57.68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33.22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66.78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32.32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67.68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53.27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43.89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56.11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56.22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43.78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53.04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47.04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55.68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12.48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15.78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44.32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3.55</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48.36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12.69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0.72</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56.58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14.32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43.42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47.65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52.35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52.07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47.93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0.74</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15.62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13.82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54.45</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45.55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0.47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51.56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0.64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57.55</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1.89</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55.14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62.06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37.94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TO others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72.11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66.31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59.49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71.21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80.98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54.11</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55.17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47.76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46.02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51.81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37.18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36.87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57.24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49.04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41.74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57.88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42.02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1105.91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Including own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108.04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105.99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105.06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101.81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104.42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113.31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107.38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99.05</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103.97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92.98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98.85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92.85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97.77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93.45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104.89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101.12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96.18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88.87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100.32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97.16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86.52</w:t>
            </w:r>
          </w:p>
        </w:tc>
        <w:tc>
          <w:tcPr>
            <w:tcW w:w="74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TCI=52.66</w:t>
            </w:r>
          </w:p>
        </w:tc>
      </w:tr>
      <w:tr>
        <w:trPr>
          <w:trHeight w:val="290" w:hRule="atLeast"/>
        </w:trPr>
        <w:tc>
          <w:tcPr>
            <w:tcW w:w="261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NET</w:t>
            </w:r>
          </w:p>
        </w:tc>
        <w:tc>
          <w:tcPr>
            <w:tcW w:w="174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8.04</w:t>
            </w:r>
          </w:p>
        </w:tc>
        <w:tc>
          <w:tcPr>
            <w:tcW w:w="131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5.99</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5.06</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w:t>
            </w:r>
          </w:p>
        </w:tc>
        <w:tc>
          <w:tcPr>
            <w:tcW w:w="147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4.42</w:t>
            </w:r>
          </w:p>
        </w:tc>
        <w:tc>
          <w:tcPr>
            <w:tcW w:w="139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13.31</w:t>
            </w:r>
          </w:p>
        </w:tc>
        <w:tc>
          <w:tcPr>
            <w:tcW w:w="166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7.38</w:t>
            </w:r>
          </w:p>
        </w:tc>
        <w:tc>
          <w:tcPr>
            <w:tcW w:w="75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-0.95</w:t>
            </w:r>
          </w:p>
        </w:tc>
        <w:tc>
          <w:tcPr>
            <w:tcW w:w="13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3.97</w:t>
            </w:r>
          </w:p>
        </w:tc>
        <w:tc>
          <w:tcPr>
            <w:tcW w:w="99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-7.02</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-1.15</w:t>
            </w:r>
          </w:p>
        </w:tc>
        <w:tc>
          <w:tcPr>
            <w:tcW w:w="169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-7.15</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-2.23</w:t>
            </w:r>
          </w:p>
        </w:tc>
        <w:tc>
          <w:tcPr>
            <w:tcW w:w="190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-6.55</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4.89</w:t>
            </w:r>
          </w:p>
        </w:tc>
        <w:tc>
          <w:tcPr>
            <w:tcW w:w="14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1.12</w:t>
            </w:r>
          </w:p>
        </w:tc>
        <w:tc>
          <w:tcPr>
            <w:tcW w:w="261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-3.82</w:t>
            </w:r>
          </w:p>
        </w:tc>
        <w:tc>
          <w:tcPr>
            <w:tcW w:w="140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-11.13</w:t>
            </w:r>
          </w:p>
        </w:tc>
        <w:tc>
          <w:tcPr>
            <w:tcW w:w="203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0.32</w:t>
            </w:r>
          </w:p>
        </w:tc>
        <w:tc>
          <w:tcPr>
            <w:tcW w:w="122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-2.84</w:t>
            </w:r>
          </w:p>
        </w:tc>
        <w:tc>
          <w:tcPr>
            <w:tcW w:w="162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-13.48</w:t>
            </w:r>
          </w:p>
        </w:tc>
        <w:tc>
          <w:tcPr>
            <w:tcW w:w="74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bl>
    <w:p>
      <w:pPr>
        <w:pStyle w:val="Normal1"/>
        <w:jc w:val="center"/>
        <w:rPr>
          <w:b/>
          <w:b/>
          <w:sz w:val="24"/>
          <w:szCs w:val="24"/>
        </w:rPr>
      </w:pPr>
      <w:r>
        <w:rPr>
          <w:b/>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t>Table 7. Volatility spillovers estimated at the upper quantile (τ = 0.95)</w:t>
      </w:r>
    </w:p>
    <w:tbl>
      <w:tblPr>
        <w:tblStyle w:val="Table9"/>
        <w:tblW w:w="31680" w:type="dxa"/>
        <w:jc w:val="left"/>
        <w:tblInd w:w="0" w:type="dxa"/>
        <w:tblLayout w:type="fixed"/>
        <w:tblCellMar>
          <w:top w:w="0" w:type="dxa"/>
          <w:left w:w="108" w:type="dxa"/>
          <w:bottom w:w="0" w:type="dxa"/>
          <w:right w:w="108" w:type="dxa"/>
        </w:tblCellMar>
        <w:tblLook w:val="0400"/>
      </w:tblPr>
      <w:tblGrid>
        <w:gridCol w:w="2543"/>
        <w:gridCol w:w="1692"/>
        <w:gridCol w:w="1274"/>
        <w:gridCol w:w="833"/>
        <w:gridCol w:w="833"/>
        <w:gridCol w:w="1502"/>
        <w:gridCol w:w="1340"/>
        <w:gridCol w:w="1612"/>
        <w:gridCol w:w="830"/>
        <w:gridCol w:w="1321"/>
        <w:gridCol w:w="954"/>
        <w:gridCol w:w="830"/>
        <w:gridCol w:w="1679"/>
        <w:gridCol w:w="833"/>
        <w:gridCol w:w="1838"/>
        <w:gridCol w:w="833"/>
        <w:gridCol w:w="1422"/>
        <w:gridCol w:w="2544"/>
        <w:gridCol w:w="1346"/>
        <w:gridCol w:w="2009"/>
        <w:gridCol w:w="1178"/>
        <w:gridCol w:w="1600"/>
        <w:gridCol w:w="830"/>
      </w:tblGrid>
      <w:tr>
        <w:trPr>
          <w:trHeight w:val="290" w:hRule="atLeast"/>
        </w:trPr>
        <w:tc>
          <w:tcPr>
            <w:tcW w:w="254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69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RAYTHEON.TECHNOLOGIES</w:t>
            </w:r>
          </w:p>
        </w:tc>
        <w:tc>
          <w:tcPr>
            <w:tcW w:w="127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LOCKHEED.MARTIN</w:t>
            </w:r>
          </w:p>
        </w:tc>
        <w:tc>
          <w:tcPr>
            <w:tcW w:w="83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BOEING</w:t>
            </w:r>
          </w:p>
        </w:tc>
        <w:tc>
          <w:tcPr>
            <w:tcW w:w="83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AIRBUS</w:t>
            </w:r>
          </w:p>
        </w:tc>
        <w:tc>
          <w:tcPr>
            <w:tcW w:w="150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NORTHROP.GRUMMAN</w:t>
            </w:r>
          </w:p>
        </w:tc>
        <w:tc>
          <w:tcPr>
            <w:tcW w:w="134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GENERAL.DYNAMICS</w:t>
            </w:r>
          </w:p>
        </w:tc>
        <w:tc>
          <w:tcPr>
            <w:tcW w:w="161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L3HARRIS.TECHNOLOGIES</w:t>
            </w:r>
          </w:p>
        </w:tc>
        <w:tc>
          <w:tcPr>
            <w:tcW w:w="83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SAFRAN</w:t>
            </w:r>
          </w:p>
        </w:tc>
        <w:tc>
          <w:tcPr>
            <w:tcW w:w="132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TRANSDIGM.GROUP</w:t>
            </w:r>
          </w:p>
        </w:tc>
        <w:tc>
          <w:tcPr>
            <w:tcW w:w="95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BAE.SYSTEMS</w:t>
            </w:r>
          </w:p>
        </w:tc>
        <w:tc>
          <w:tcPr>
            <w:tcW w:w="83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THALES</w:t>
            </w:r>
          </w:p>
        </w:tc>
        <w:tc>
          <w:tcPr>
            <w:tcW w:w="167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AECC.AVIATION.POWER.'A'</w:t>
            </w:r>
          </w:p>
        </w:tc>
        <w:tc>
          <w:tcPr>
            <w:tcW w:w="83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HEICO</w:t>
            </w:r>
          </w:p>
        </w:tc>
        <w:tc>
          <w:tcPr>
            <w:tcW w:w="183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AVIC.SHENYANG.AIRCRAFT.'A'</w:t>
            </w:r>
          </w:p>
        </w:tc>
        <w:tc>
          <w:tcPr>
            <w:tcW w:w="833"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TEXTRON</w:t>
            </w:r>
          </w:p>
        </w:tc>
        <w:tc>
          <w:tcPr>
            <w:tcW w:w="1422"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HOWMET.AEROSPACE</w:t>
            </w:r>
          </w:p>
        </w:tc>
        <w:tc>
          <w:tcPr>
            <w:tcW w:w="2544"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AVIC.XI.AN.AIRCRAFT.INDUSTRY.GROUP.'A'</w:t>
            </w:r>
          </w:p>
        </w:tc>
        <w:tc>
          <w:tcPr>
            <w:tcW w:w="1346"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DASSAULT.AVIATION</w:t>
            </w:r>
          </w:p>
        </w:tc>
        <w:tc>
          <w:tcPr>
            <w:tcW w:w="2009"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MTU.AERO.ENGINES.(XET).HLDG.</w:t>
            </w:r>
          </w:p>
        </w:tc>
        <w:tc>
          <w:tcPr>
            <w:tcW w:w="1178"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ROLLS-ROYCE.HOLDINGS</w:t>
            </w:r>
          </w:p>
        </w:tc>
        <w:tc>
          <w:tcPr>
            <w:tcW w:w="1600"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SINGAPORE.TECHS.ENGR.</w:t>
            </w:r>
          </w:p>
        </w:tc>
        <w:tc>
          <w:tcPr>
            <w:tcW w:w="830"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FROM others</w:t>
            </w:r>
          </w:p>
        </w:tc>
      </w:tr>
      <w:tr>
        <w:trPr>
          <w:trHeight w:val="290" w:hRule="atLeast"/>
        </w:trPr>
        <w:tc>
          <w:tcPr>
            <w:tcW w:w="2543" w:type="dxa"/>
            <w:tcBorders>
              <w:top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RAYTHEON.TECHNOLOGIES</w:t>
            </w:r>
          </w:p>
        </w:tc>
        <w:tc>
          <w:tcPr>
            <w:tcW w:w="1692"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5.75</w:t>
            </w:r>
          </w:p>
        </w:tc>
        <w:tc>
          <w:tcPr>
            <w:tcW w:w="1274"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w:t>
            </w:r>
          </w:p>
        </w:tc>
        <w:tc>
          <w:tcPr>
            <w:tcW w:w="833"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833"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4.46</w:t>
            </w:r>
          </w:p>
        </w:tc>
        <w:tc>
          <w:tcPr>
            <w:tcW w:w="1502"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4.71</w:t>
            </w:r>
          </w:p>
        </w:tc>
        <w:tc>
          <w:tcPr>
            <w:tcW w:w="1340"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4.98</w:t>
            </w:r>
          </w:p>
        </w:tc>
        <w:tc>
          <w:tcPr>
            <w:tcW w:w="1612"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4.23</w:t>
            </w:r>
          </w:p>
        </w:tc>
        <w:tc>
          <w:tcPr>
            <w:tcW w:w="830"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4.52</w:t>
            </w:r>
          </w:p>
        </w:tc>
        <w:tc>
          <w:tcPr>
            <w:tcW w:w="1321"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4.01</w:t>
            </w:r>
          </w:p>
        </w:tc>
        <w:tc>
          <w:tcPr>
            <w:tcW w:w="954"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4.22</w:t>
            </w:r>
          </w:p>
        </w:tc>
        <w:tc>
          <w:tcPr>
            <w:tcW w:w="830"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679"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833"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1838" w:type="dxa"/>
            <w:tcBorders>
              <w:top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4.31</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6.19</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94.25</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LOCKHEED.MARTIN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5.44</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4.36</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4.67</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5.11</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4.06</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4.14</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5.14</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6.11</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95.15</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BOEING</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5.22</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4.38</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4.64</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4.99</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4.21</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4.41</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4.51</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4.23</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5.35</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5.11</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6.34</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94.74</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AIRBUS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5.32</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4.77</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4.55</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4.86</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4.71</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4.35</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4.24</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4.63</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5.28</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6.27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95.23</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NORTHROP.GRUMMAN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4.38</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5.02</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4.04</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4.28</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5.18</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5.42</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6.33</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94.98</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GENERAL.DYNAMICS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5.35</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4.42</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4.72</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5.22</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4.43</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4.15</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4.57</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5.36</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5.38</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6.11</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94.78</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L3HARRIS.TECHNOLOGIES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5.47</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4.93</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4.08</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4.43</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4.84</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4.26</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4.65</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5.39</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6.27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95.58</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SAFRAN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5.39</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4.54</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4.51</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4.82</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4.15</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4.71</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4.29</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4.26</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4.78</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5.37</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4.65</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6.37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95.13</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TRANSDIGM.GROUP</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5.31</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4.51</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5.09</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4.54</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4.34</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4.65</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4.24</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4.64</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5.21</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5.22</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4.61</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6.15</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95.66</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BAE.SYSTEMS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5.57</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4.35</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4.66</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4.21</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4.66</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4.84</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4.16</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5.31</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4.96</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6.11</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95.32</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THALES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5.28</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5.01</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4.04</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4.22</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5.15</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6.3</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95.09</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AECC.AVIATION.POWER.'A'</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5.35</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4.41</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4.51</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4.18</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4.64</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4.04</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5.55</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5.28</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4.54</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6.13</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94.77</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HEICO</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5.47</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4.33</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4.75</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4.95</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3.97</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4.97</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4.15</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5.32</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4.54</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6.04</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95.03</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AVIC.SHENYANG.AIRCRAFT.'A'</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5.49</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4.32</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4.52</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4.12</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4.13</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4.61</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5.48</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5.23</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6.07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94.52</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TEXTRON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5.38</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4.55</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4.61</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4.23</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4.31</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4.46</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5.35</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5.27</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6.02</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95.54</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HOWMET.AEROSPACE</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5.46</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4.42</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4.73</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4.77</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4.52</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4.22</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5.11</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5.04</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5.23</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6.18</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94.89</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AVIC.XI.AN.AIRCRAFT.INDUSTRY.GROUP.'A'</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5.27</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4.45</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4.08</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4.69</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4.18</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5.84</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6.27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94.16</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DASSAULT.AVIATION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5.34</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4.46</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5.07</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4.07</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4.61</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4.84</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4.76</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5.22</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5.73</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5.9</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94.27</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MTU.AERO.ENGINES.(XET).HLDG.</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5.32</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4.57</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4.58</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4.71</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4.15</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4.63</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4.28</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4.84</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5.27</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5.16</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6.2</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95.11</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ROLLS-ROYCE.HOLDINGS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4.75</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4.44</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3.97</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4.37</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4.56</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4.18</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4.47</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5.33</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5.14</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4.52</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6.83</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4.74</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93.17</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SINGAPORE.TECHS.ENGR.</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5.45</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5.06</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4.26</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4.73</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4.94</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4.16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4.48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4.09</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4.53</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4.62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4.39</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4.35</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4.54</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5.17</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5.36</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4.55</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6.07</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94.5</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TO others</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107.55</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91.73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97.22</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88.59</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92.07</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98.5</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83.73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92.18</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82.06</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86.16</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91.6</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95.28</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90.02</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96.83</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84.21</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92.19</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105.56</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105.21</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91.87</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123.38</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95.93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1991.87</w:t>
            </w:r>
          </w:p>
        </w:tc>
      </w:tr>
      <w:tr>
        <w:trPr>
          <w:trHeight w:val="290" w:hRule="atLeast"/>
        </w:trPr>
        <w:tc>
          <w:tcPr>
            <w:tcW w:w="2543"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Including own</w:t>
            </w:r>
          </w:p>
        </w:tc>
        <w:tc>
          <w:tcPr>
            <w:tcW w:w="169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113.3</w:t>
            </w:r>
          </w:p>
        </w:tc>
        <w:tc>
          <w:tcPr>
            <w:tcW w:w="127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96.59</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102.47</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93.36</w:t>
            </w:r>
          </w:p>
        </w:tc>
        <w:tc>
          <w:tcPr>
            <w:tcW w:w="150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97.09</w:t>
            </w:r>
          </w:p>
        </w:tc>
        <w:tc>
          <w:tcPr>
            <w:tcW w:w="134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103.73</w:t>
            </w:r>
          </w:p>
        </w:tc>
        <w:tc>
          <w:tcPr>
            <w:tcW w:w="161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88.15</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97.06</w:t>
            </w:r>
          </w:p>
        </w:tc>
        <w:tc>
          <w:tcPr>
            <w:tcW w:w="1321"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86.4</w:t>
            </w:r>
          </w:p>
        </w:tc>
        <w:tc>
          <w:tcPr>
            <w:tcW w:w="95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90.83</w:t>
            </w:r>
          </w:p>
        </w:tc>
        <w:tc>
          <w:tcPr>
            <w:tcW w:w="83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96.51</w:t>
            </w:r>
          </w:p>
        </w:tc>
        <w:tc>
          <w:tcPr>
            <w:tcW w:w="167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100.51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94.98</w:t>
            </w:r>
          </w:p>
        </w:tc>
        <w:tc>
          <w:tcPr>
            <w:tcW w:w="183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102.31</w:t>
            </w:r>
          </w:p>
        </w:tc>
        <w:tc>
          <w:tcPr>
            <w:tcW w:w="833"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88.67</w:t>
            </w:r>
          </w:p>
        </w:tc>
        <w:tc>
          <w:tcPr>
            <w:tcW w:w="1422"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97.3</w:t>
            </w:r>
          </w:p>
        </w:tc>
        <w:tc>
          <w:tcPr>
            <w:tcW w:w="2544"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111.39</w:t>
            </w:r>
          </w:p>
        </w:tc>
        <w:tc>
          <w:tcPr>
            <w:tcW w:w="1346"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110.94</w:t>
            </w:r>
          </w:p>
        </w:tc>
        <w:tc>
          <w:tcPr>
            <w:tcW w:w="2009"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96.75</w:t>
            </w:r>
          </w:p>
        </w:tc>
        <w:tc>
          <w:tcPr>
            <w:tcW w:w="1178"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130.21</w:t>
            </w:r>
          </w:p>
        </w:tc>
        <w:tc>
          <w:tcPr>
            <w:tcW w:w="1600" w:type="dxa"/>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101.43</w:t>
            </w:r>
          </w:p>
        </w:tc>
        <w:tc>
          <w:tcPr>
            <w:tcW w:w="830" w:type="dxa"/>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TCI=94.85</w:t>
            </w:r>
          </w:p>
        </w:tc>
      </w:tr>
      <w:tr>
        <w:trPr>
          <w:trHeight w:val="290" w:hRule="atLeast"/>
        </w:trPr>
        <w:tc>
          <w:tcPr>
            <w:tcW w:w="2543" w:type="dxa"/>
            <w:tcBorders>
              <w:bottom w:val="single" w:sz="4" w:space="0" w:color="000000"/>
            </w:tcBorders>
            <w:shd w:fill="auto" w:val="clear"/>
            <w:vAlign w:val="bottom"/>
          </w:tcPr>
          <w:p>
            <w:pPr>
              <w:pStyle w:val="Normal1"/>
              <w:widowControl w:val="false"/>
              <w:spacing w:lineRule="auto" w:line="240" w:before="0" w:after="0"/>
              <w:rPr>
                <w:rFonts w:ascii="Calibri" w:hAnsi="Calibri" w:eastAsia="Calibri" w:cs="Calibri"/>
                <w:color w:val="000000"/>
                <w:sz w:val="16"/>
                <w:szCs w:val="16"/>
              </w:rPr>
            </w:pPr>
            <w:r>
              <w:rPr>
                <w:rFonts w:eastAsia="Calibri" w:cs="Calibri"/>
                <w:color w:val="000000"/>
                <w:sz w:val="16"/>
                <w:szCs w:val="16"/>
              </w:rPr>
              <w:t>NET</w:t>
            </w:r>
          </w:p>
        </w:tc>
        <w:tc>
          <w:tcPr>
            <w:tcW w:w="1692"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13.3</w:t>
            </w:r>
          </w:p>
        </w:tc>
        <w:tc>
          <w:tcPr>
            <w:tcW w:w="1274"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-3.41</w:t>
            </w:r>
          </w:p>
        </w:tc>
        <w:tc>
          <w:tcPr>
            <w:tcW w:w="833"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2.47</w:t>
            </w:r>
          </w:p>
        </w:tc>
        <w:tc>
          <w:tcPr>
            <w:tcW w:w="833"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-6.64</w:t>
            </w:r>
          </w:p>
        </w:tc>
        <w:tc>
          <w:tcPr>
            <w:tcW w:w="1502"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-2.91</w:t>
            </w:r>
          </w:p>
        </w:tc>
        <w:tc>
          <w:tcPr>
            <w:tcW w:w="1340"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3.73</w:t>
            </w:r>
          </w:p>
        </w:tc>
        <w:tc>
          <w:tcPr>
            <w:tcW w:w="1612"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-11.85</w:t>
            </w:r>
          </w:p>
        </w:tc>
        <w:tc>
          <w:tcPr>
            <w:tcW w:w="830"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-2.94</w:t>
            </w:r>
          </w:p>
        </w:tc>
        <w:tc>
          <w:tcPr>
            <w:tcW w:w="1321"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-13.6</w:t>
            </w:r>
          </w:p>
        </w:tc>
        <w:tc>
          <w:tcPr>
            <w:tcW w:w="954"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-9.17</w:t>
            </w:r>
          </w:p>
        </w:tc>
        <w:tc>
          <w:tcPr>
            <w:tcW w:w="830"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-3.49</w:t>
            </w:r>
          </w:p>
        </w:tc>
        <w:tc>
          <w:tcPr>
            <w:tcW w:w="1679"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0.51</w:t>
            </w:r>
          </w:p>
        </w:tc>
        <w:tc>
          <w:tcPr>
            <w:tcW w:w="833"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-5.02</w:t>
            </w:r>
          </w:p>
        </w:tc>
        <w:tc>
          <w:tcPr>
            <w:tcW w:w="1838"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2.31</w:t>
            </w:r>
          </w:p>
        </w:tc>
        <w:tc>
          <w:tcPr>
            <w:tcW w:w="833"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-11.33</w:t>
            </w:r>
          </w:p>
        </w:tc>
        <w:tc>
          <w:tcPr>
            <w:tcW w:w="1422"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-2.7</w:t>
            </w:r>
          </w:p>
        </w:tc>
        <w:tc>
          <w:tcPr>
            <w:tcW w:w="2544"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11.39</w:t>
            </w:r>
          </w:p>
        </w:tc>
        <w:tc>
          <w:tcPr>
            <w:tcW w:w="1346"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10.94</w:t>
            </w:r>
          </w:p>
        </w:tc>
        <w:tc>
          <w:tcPr>
            <w:tcW w:w="2009"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-3.25</w:t>
            </w:r>
          </w:p>
        </w:tc>
        <w:tc>
          <w:tcPr>
            <w:tcW w:w="1178"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30.21</w:t>
            </w:r>
          </w:p>
        </w:tc>
        <w:tc>
          <w:tcPr>
            <w:tcW w:w="1600"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t>1.43</w:t>
            </w:r>
          </w:p>
        </w:tc>
        <w:tc>
          <w:tcPr>
            <w:tcW w:w="830" w:type="dxa"/>
            <w:tcBorders>
              <w:bottom w:val="single" w:sz="4" w:space="0" w:color="000000"/>
            </w:tcBorders>
            <w:shd w:fill="auto" w:val="clear"/>
            <w:vAlign w:val="bottom"/>
          </w:tcPr>
          <w:p>
            <w:pPr>
              <w:pStyle w:val="Normal1"/>
              <w:widowControl w:val="false"/>
              <w:spacing w:lineRule="auto" w:line="240" w:before="0" w:after="0"/>
              <w:jc w:val="right"/>
              <w:rPr>
                <w:rFonts w:ascii="Calibri" w:hAnsi="Calibri" w:eastAsia="Calibri" w:cs="Calibri"/>
                <w:color w:val="000000"/>
                <w:sz w:val="16"/>
                <w:szCs w:val="16"/>
              </w:rPr>
            </w:pPr>
            <w:r>
              <w:rPr>
                <w:rFonts w:eastAsia="Calibri" w:cs="Calibri"/>
                <w:color w:val="000000"/>
                <w:sz w:val="16"/>
                <w:szCs w:val="16"/>
              </w:rPr>
            </w:r>
          </w:p>
        </w:tc>
      </w:tr>
    </w:tbl>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jc w:val="center"/>
        <w:rPr>
          <w:b/>
          <w:b/>
          <w:sz w:val="24"/>
          <w:szCs w:val="24"/>
        </w:rPr>
      </w:pPr>
      <w:r>
        <w:rPr>
          <w:b/>
          <w:sz w:val="24"/>
          <w:szCs w:val="24"/>
        </w:rPr>
      </w:r>
    </w:p>
    <w:p>
      <w:pPr>
        <w:pStyle w:val="Normal1"/>
        <w:jc w:val="center"/>
        <w:rPr>
          <w:b/>
          <w:b/>
          <w:sz w:val="24"/>
          <w:szCs w:val="24"/>
        </w:rPr>
      </w:pPr>
      <w:r>
        <w:rPr>
          <w:b/>
          <w:sz w:val="24"/>
          <w:szCs w:val="24"/>
        </w:rPr>
        <w:t>Table 8. Volatility spillovers estimated at the lower quantile (τ = 0.05)</w:t>
      </w:r>
    </w:p>
    <w:tbl>
      <w:tblPr>
        <w:tblStyle w:val="Table10"/>
        <w:tblW w:w="31680" w:type="dxa"/>
        <w:jc w:val="left"/>
        <w:tblInd w:w="0" w:type="dxa"/>
        <w:tblLayout w:type="fixed"/>
        <w:tblCellMar>
          <w:top w:w="0" w:type="dxa"/>
          <w:left w:w="108" w:type="dxa"/>
          <w:bottom w:w="0" w:type="dxa"/>
          <w:right w:w="108" w:type="dxa"/>
        </w:tblCellMar>
        <w:tblLook w:val="0400"/>
      </w:tblPr>
      <w:tblGrid>
        <w:gridCol w:w="2613"/>
        <w:gridCol w:w="1749"/>
        <w:gridCol w:w="1315"/>
        <w:gridCol w:w="750"/>
        <w:gridCol w:w="748"/>
        <w:gridCol w:w="1473"/>
        <w:gridCol w:w="1394"/>
        <w:gridCol w:w="1663"/>
        <w:gridCol w:w="751"/>
        <w:gridCol w:w="1316"/>
        <w:gridCol w:w="990"/>
        <w:gridCol w:w="748"/>
        <w:gridCol w:w="1695"/>
        <w:gridCol w:w="748"/>
        <w:gridCol w:w="1904"/>
        <w:gridCol w:w="750"/>
        <w:gridCol w:w="1429"/>
        <w:gridCol w:w="2617"/>
        <w:gridCol w:w="1403"/>
        <w:gridCol w:w="2034"/>
        <w:gridCol w:w="1220"/>
        <w:gridCol w:w="1622"/>
        <w:gridCol w:w="744"/>
      </w:tblGrid>
      <w:tr>
        <w:trPr>
          <w:trHeight w:val="290" w:hRule="atLeast"/>
        </w:trPr>
        <w:tc>
          <w:tcPr>
            <w:tcW w:w="261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sz w:val="16"/>
                <w:szCs w:val="16"/>
              </w:rPr>
            </w:pPr>
            <w:r>
              <w:rPr>
                <w:rFonts w:eastAsia="Times New Roman" w:cs="Times New Roman" w:ascii="Times New Roman" w:hAnsi="Times New Roman"/>
                <w:sz w:val="16"/>
                <w:szCs w:val="16"/>
              </w:rPr>
            </w:r>
          </w:p>
        </w:tc>
        <w:tc>
          <w:tcPr>
            <w:tcW w:w="174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31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47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39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66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751"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316"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99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69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748"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90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75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429"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2617"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403"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203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220"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622"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74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FROM others</w:t>
            </w:r>
          </w:p>
        </w:tc>
      </w:tr>
      <w:tr>
        <w:trPr>
          <w:trHeight w:val="290" w:hRule="atLeast"/>
        </w:trPr>
        <w:tc>
          <w:tcPr>
            <w:tcW w:w="2613"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RAYTHEON.TECHNOLOGIES</w:t>
            </w:r>
          </w:p>
        </w:tc>
        <w:tc>
          <w:tcPr>
            <w:tcW w:w="174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29.07</w:t>
            </w:r>
          </w:p>
        </w:tc>
        <w:tc>
          <w:tcPr>
            <w:tcW w:w="131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5.32</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5.85</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3.75</w:t>
            </w:r>
          </w:p>
        </w:tc>
        <w:tc>
          <w:tcPr>
            <w:tcW w:w="147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5.39</w:t>
            </w:r>
          </w:p>
        </w:tc>
        <w:tc>
          <w:tcPr>
            <w:tcW w:w="139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7.57</w:t>
            </w:r>
          </w:p>
        </w:tc>
        <w:tc>
          <w:tcPr>
            <w:tcW w:w="166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3.49</w:t>
            </w:r>
          </w:p>
        </w:tc>
        <w:tc>
          <w:tcPr>
            <w:tcW w:w="751"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3.62</w:t>
            </w:r>
          </w:p>
        </w:tc>
        <w:tc>
          <w:tcPr>
            <w:tcW w:w="1316"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3.38</w:t>
            </w:r>
          </w:p>
        </w:tc>
        <w:tc>
          <w:tcPr>
            <w:tcW w:w="99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3.05</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3.34</w:t>
            </w:r>
          </w:p>
        </w:tc>
        <w:tc>
          <w:tcPr>
            <w:tcW w:w="1695"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w:t>
            </w:r>
          </w:p>
        </w:tc>
        <w:tc>
          <w:tcPr>
            <w:tcW w:w="748"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4.73</w:t>
            </w:r>
          </w:p>
        </w:tc>
        <w:tc>
          <w:tcPr>
            <w:tcW w:w="190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1.06</w:t>
            </w:r>
          </w:p>
        </w:tc>
        <w:tc>
          <w:tcPr>
            <w:tcW w:w="75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4.02</w:t>
            </w:r>
          </w:p>
        </w:tc>
        <w:tc>
          <w:tcPr>
            <w:tcW w:w="1429"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w:t>
            </w:r>
          </w:p>
        </w:tc>
        <w:tc>
          <w:tcPr>
            <w:tcW w:w="2617"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w:t>
            </w:r>
          </w:p>
        </w:tc>
        <w:tc>
          <w:tcPr>
            <w:tcW w:w="1403"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2.06</w:t>
            </w:r>
          </w:p>
        </w:tc>
        <w:tc>
          <w:tcPr>
            <w:tcW w:w="203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3.84</w:t>
            </w:r>
          </w:p>
        </w:tc>
        <w:tc>
          <w:tcPr>
            <w:tcW w:w="1220"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1622"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1.43</w:t>
            </w:r>
          </w:p>
        </w:tc>
        <w:tc>
          <w:tcPr>
            <w:tcW w:w="744" w:type="dxa"/>
            <w:tcBorders>
              <w:top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70.93</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LOCKHEED.MARTIN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31.01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11.46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7.98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68.99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BOEING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29.58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7.96</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70.42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AIRBUS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32.13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67.87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NORTHROP.GRUMMAN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11.08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2.28</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72.06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GENERAL.DYNAMICS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7.01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6.99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3.36</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9.17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25.69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2.95</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3.24</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3.82</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1.54</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74.31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L3HARRIS.TECHNOLOGIES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5.37</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41.42</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1.34</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58.58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SAFRAN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32.11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2.74</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3.35</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67.89</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TRANSDIGM.GROUP</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3.04</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47.09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3.55</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0.76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1.65</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52.91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BAE.SYSTEMS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3.62</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5.11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36.33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5.43</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2.97</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2.26</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63.67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THALES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3.65</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3.73</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36.72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1.27</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63.28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AECC.AVIATION.POWER.'A'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1.58</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1.22</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44.88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12.74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15.78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55.12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HEICO</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4.44</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35.84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3.69</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3.72</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1.97</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64.16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AVIC.SHENYANG.AIRCRAFT.'A'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1.95</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1.07</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12.38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1.58</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43.69</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1.37</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1.38</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13.57</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1.49</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56.31</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TEXTRON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4.94</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3.05</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4.06</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5.72</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3.47</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3.86</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38.16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2.67</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61.84</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HOWMET.AEROSPACE</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3.28</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3.33</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3.44</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2.87</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0.8</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42.13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2.91</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2.48</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57.87</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AVIC.XI.AN.AIRCRAFT.INDUSTRY.GROUP.'A'</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1.91</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1.32</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15.26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13.56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1.42</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41.98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1.23</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1.53</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1.76</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58.02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DASSAULT.AVIATION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4.74</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2.82</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3.55</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3.05</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4.67</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4.75</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2.37</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1.21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2.11</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2.72</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59.06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MTU.AERO.ENGINES.(XET).HLDG.</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4.29</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2.45</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3.46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6.8</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3.81</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1.98</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7.3</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2.81</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1.36</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2.46</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2.71</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1.16</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3.6</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32.74</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4.23</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2.49</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67.26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ROLLS-ROYCE.HOLDINGS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2.86</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1.88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1.67</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4.09</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3.38</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0.96</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1.12</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3.18</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3.09</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1.68</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2.34</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6.09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46.32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1.75</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53.68</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SINGAPORE.TECHS.ENGR.</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2.51</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2.93</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2.68</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2.69</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3.08</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3.26</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1.73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2.84</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2.93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2.03</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2.4</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2.32</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3.11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3.79</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1.99</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45.88</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54.12</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TO others</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82.63</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74.23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78.53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72.39</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80.09</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89.68</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55.24</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49.64</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61.12</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66.59</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48.53</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61.31</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59.1</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57.33</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53.21</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50.47</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72.88</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43.42</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39.53</w:t>
            </w:r>
          </w:p>
        </w:tc>
        <w:tc>
          <w:tcPr>
            <w:tcW w:w="74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1318.36</w:t>
            </w:r>
          </w:p>
        </w:tc>
      </w:tr>
      <w:tr>
        <w:trPr>
          <w:trHeight w:val="290" w:hRule="atLeast"/>
        </w:trPr>
        <w:tc>
          <w:tcPr>
            <w:tcW w:w="2613"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Including own</w:t>
            </w:r>
          </w:p>
        </w:tc>
        <w:tc>
          <w:tcPr>
            <w:tcW w:w="174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111.7</w:t>
            </w:r>
          </w:p>
        </w:tc>
        <w:tc>
          <w:tcPr>
            <w:tcW w:w="131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105.24</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108.11</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104.51</w:t>
            </w:r>
          </w:p>
        </w:tc>
        <w:tc>
          <w:tcPr>
            <w:tcW w:w="147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108.03</w:t>
            </w:r>
          </w:p>
        </w:tc>
        <w:tc>
          <w:tcPr>
            <w:tcW w:w="139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115.37</w:t>
            </w:r>
          </w:p>
        </w:tc>
        <w:tc>
          <w:tcPr>
            <w:tcW w:w="166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96.66</w:t>
            </w:r>
          </w:p>
        </w:tc>
        <w:tc>
          <w:tcPr>
            <w:tcW w:w="751"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104.11</w:t>
            </w:r>
          </w:p>
        </w:tc>
        <w:tc>
          <w:tcPr>
            <w:tcW w:w="1316"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96.73</w:t>
            </w:r>
          </w:p>
        </w:tc>
        <w:tc>
          <w:tcPr>
            <w:tcW w:w="99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97.45</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103.31</w:t>
            </w:r>
          </w:p>
        </w:tc>
        <w:tc>
          <w:tcPr>
            <w:tcW w:w="1695"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93.4</w:t>
            </w:r>
          </w:p>
        </w:tc>
        <w:tc>
          <w:tcPr>
            <w:tcW w:w="748"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97.15</w:t>
            </w:r>
          </w:p>
        </w:tc>
        <w:tc>
          <w:tcPr>
            <w:tcW w:w="190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94.13</w:t>
            </w:r>
          </w:p>
        </w:tc>
        <w:tc>
          <w:tcPr>
            <w:tcW w:w="75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97.25</w:t>
            </w:r>
          </w:p>
        </w:tc>
        <w:tc>
          <w:tcPr>
            <w:tcW w:w="1429"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99.46</w:t>
            </w:r>
          </w:p>
        </w:tc>
        <w:tc>
          <w:tcPr>
            <w:tcW w:w="2617"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95.19</w:t>
            </w:r>
          </w:p>
        </w:tc>
        <w:tc>
          <w:tcPr>
            <w:tcW w:w="1403"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91.41</w:t>
            </w:r>
          </w:p>
        </w:tc>
        <w:tc>
          <w:tcPr>
            <w:tcW w:w="2034"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105.62</w:t>
            </w:r>
          </w:p>
        </w:tc>
        <w:tc>
          <w:tcPr>
            <w:tcW w:w="1220"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89.74</w:t>
            </w:r>
          </w:p>
        </w:tc>
        <w:tc>
          <w:tcPr>
            <w:tcW w:w="1622" w:type="dxa"/>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85.42</w:t>
            </w:r>
          </w:p>
        </w:tc>
        <w:tc>
          <w:tcPr>
            <w:tcW w:w="74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TCI=62.78</w:t>
            </w:r>
          </w:p>
        </w:tc>
      </w:tr>
      <w:tr>
        <w:trPr>
          <w:trHeight w:val="290" w:hRule="atLeast"/>
        </w:trPr>
        <w:tc>
          <w:tcPr>
            <w:tcW w:w="2613"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NET</w:t>
            </w:r>
          </w:p>
        </w:tc>
        <w:tc>
          <w:tcPr>
            <w:tcW w:w="174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11.7</w:t>
            </w:r>
          </w:p>
        </w:tc>
        <w:tc>
          <w:tcPr>
            <w:tcW w:w="131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5.24</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8.11</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4.51</w:t>
            </w:r>
          </w:p>
        </w:tc>
        <w:tc>
          <w:tcPr>
            <w:tcW w:w="147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8.03</w:t>
            </w:r>
          </w:p>
        </w:tc>
        <w:tc>
          <w:tcPr>
            <w:tcW w:w="139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15.37</w:t>
            </w:r>
          </w:p>
        </w:tc>
        <w:tc>
          <w:tcPr>
            <w:tcW w:w="166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-3.34</w:t>
            </w:r>
          </w:p>
        </w:tc>
        <w:tc>
          <w:tcPr>
            <w:tcW w:w="751"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4.11</w:t>
            </w:r>
          </w:p>
        </w:tc>
        <w:tc>
          <w:tcPr>
            <w:tcW w:w="1316"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-3.27</w:t>
            </w:r>
          </w:p>
        </w:tc>
        <w:tc>
          <w:tcPr>
            <w:tcW w:w="99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-2.55</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3.31</w:t>
            </w:r>
          </w:p>
        </w:tc>
        <w:tc>
          <w:tcPr>
            <w:tcW w:w="1695"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-6.6</w:t>
            </w:r>
          </w:p>
        </w:tc>
        <w:tc>
          <w:tcPr>
            <w:tcW w:w="748"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-2.85</w:t>
            </w:r>
          </w:p>
        </w:tc>
        <w:tc>
          <w:tcPr>
            <w:tcW w:w="190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-5.87</w:t>
            </w:r>
          </w:p>
        </w:tc>
        <w:tc>
          <w:tcPr>
            <w:tcW w:w="75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-2.75</w:t>
            </w:r>
          </w:p>
        </w:tc>
        <w:tc>
          <w:tcPr>
            <w:tcW w:w="1429"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-0.54</w:t>
            </w:r>
          </w:p>
        </w:tc>
        <w:tc>
          <w:tcPr>
            <w:tcW w:w="2617"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-4.81</w:t>
            </w:r>
          </w:p>
        </w:tc>
        <w:tc>
          <w:tcPr>
            <w:tcW w:w="1403"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-8.59</w:t>
            </w:r>
          </w:p>
        </w:tc>
        <w:tc>
          <w:tcPr>
            <w:tcW w:w="203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5.62</w:t>
            </w:r>
          </w:p>
        </w:tc>
        <w:tc>
          <w:tcPr>
            <w:tcW w:w="1220"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-10.26</w:t>
            </w:r>
          </w:p>
        </w:tc>
        <w:tc>
          <w:tcPr>
            <w:tcW w:w="1622"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t>-14.58</w:t>
            </w:r>
          </w:p>
        </w:tc>
        <w:tc>
          <w:tcPr>
            <w:tcW w:w="744" w:type="dxa"/>
            <w:tcBorders>
              <w:bottom w:val="single" w:sz="4" w:space="0" w:color="000000"/>
            </w:tcBorders>
            <w:shd w:fill="auto" w:val="clear"/>
            <w:vAlign w:val="bottom"/>
          </w:tcPr>
          <w:p>
            <w:pPr>
              <w:pStyle w:val="Normal1"/>
              <w:widowControl w:val="false"/>
              <w:spacing w:lineRule="auto" w:line="240" w:before="0" w:after="0"/>
              <w:jc w:val="right"/>
              <w:rPr>
                <w:rFonts w:ascii="Times New Roman" w:hAnsi="Times New Roman" w:eastAsia="Times New Roman" w:cs="Times New Roman"/>
                <w:color w:val="000000"/>
                <w:sz w:val="16"/>
                <w:szCs w:val="16"/>
              </w:rPr>
            </w:pPr>
            <w:r>
              <w:rPr>
                <w:rFonts w:eastAsia="Times New Roman" w:cs="Times New Roman" w:ascii="Times New Roman" w:hAnsi="Times New Roman"/>
                <w:color w:val="000000"/>
                <w:sz w:val="16"/>
                <w:szCs w:val="16"/>
              </w:rPr>
            </w:r>
          </w:p>
        </w:tc>
      </w:tr>
    </w:tbl>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1. Total connectedness index for returns - estimated at the middle quantile (</w:t>
      </w:r>
      <w:r>
        <w:rPr>
          <w:b/>
          <w:sz w:val="24"/>
          <w:szCs w:val="24"/>
        </w:rPr>
        <w:t>τ</w:t>
      </w:r>
      <w:r>
        <w:rPr>
          <w:rFonts w:eastAsia="Times New Roman" w:cs="Times New Roman" w:ascii="Times New Roman" w:hAnsi="Times New Roman"/>
          <w:b/>
          <w:sz w:val="24"/>
          <w:szCs w:val="24"/>
        </w:rPr>
        <w:t>= 0.5)</w:t>
      </w:r>
    </w:p>
    <w:p>
      <w:pPr>
        <w:pStyle w:val="Normal1"/>
        <w:rPr>
          <w:rFonts w:ascii="Times New Roman" w:hAnsi="Times New Roman" w:eastAsia="Times New Roman" w:cs="Times New Roman"/>
          <w:b/>
          <w:b/>
          <w:sz w:val="24"/>
          <w:szCs w:val="24"/>
        </w:rPr>
      </w:pPr>
      <w:r>
        <w:rPr/>
        <w:object>
          <v:shapetype id="_x0000_tole_rId6" coordsize="21600,21600" o:spt="ole_rId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 type="_x0000_tole_rId6" style="width:427.4pt;height:228.05pt;mso-wrap-distance-right:0pt" filled="f" o:ole="">
            <v:imagedata r:id="rId7" o:title=""/>
          </v:shape>
          <o:OLEObject Type="Embed" ProgID="EViews.Workfile.2" ShapeID="ole_rId6" DrawAspect="Content" ObjectID="_7592533" r:id="rId6"/>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2. Total connectedness index for returns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8" coordsize="21600,21600" o:spt="ole_rId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8" type="_x0000_tole_rId8" style="width:427.4pt;height:228.05pt;mso-wrap-distance-right:0pt" filled="f" o:ole="">
            <v:imagedata r:id="rId9" o:title=""/>
          </v:shape>
          <o:OLEObject Type="Embed" ProgID="EViews.Workfile.2" ShapeID="ole_rId8" DrawAspect="Content" ObjectID="_1074731682" r:id="rId8"/>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3. Total connectedness index for returns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10" coordsize="21600,21600" o:spt="ole_rId1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0" type="_x0000_tole_rId10" style="width:427.4pt;height:228.05pt;mso-wrap-distance-right:0pt" filled="f" o:ole="">
            <v:imagedata r:id="rId11" o:title=""/>
          </v:shape>
          <o:OLEObject Type="Embed" ProgID="EViews.Workfile.2" ShapeID="ole_rId10" DrawAspect="Content" ObjectID="_938747081" r:id="rId10"/>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 spillovers index for returns - estimated at the middle quantile (</w:t>
      </w:r>
      <w:r>
        <w:rPr>
          <w:b/>
          <w:sz w:val="24"/>
          <w:szCs w:val="24"/>
        </w:rPr>
        <w:t>τ</w:t>
      </w:r>
      <w:r>
        <w:rPr>
          <w:rFonts w:eastAsia="Times New Roman" w:cs="Times New Roman" w:ascii="Times New Roman" w:hAnsi="Times New Roman"/>
          <w:b/>
          <w:sz w:val="24"/>
          <w:szCs w:val="24"/>
        </w:rPr>
        <w:t>= 0.5)</w:t>
      </w:r>
    </w:p>
    <w:p>
      <w:pPr>
        <w:pStyle w:val="Normal1"/>
        <w:rPr>
          <w:rFonts w:ascii="Times New Roman" w:hAnsi="Times New Roman" w:eastAsia="Times New Roman" w:cs="Times New Roman"/>
          <w:b/>
          <w:b/>
          <w:sz w:val="24"/>
          <w:szCs w:val="24"/>
        </w:rPr>
      </w:pPr>
      <w:r>
        <w:rPr/>
        <w:object>
          <v:shapetype id="_x0000_tole_rId12" coordsize="21600,21600" o:spt="ole_rId1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2" type="_x0000_tole_rId12" style="width:514pt;height:328.35pt;mso-wrap-distance-right:0pt" filled="f" o:ole="">
            <v:imagedata r:id="rId13" o:title=""/>
          </v:shape>
          <o:OLEObject Type="Embed" ProgID="EViews.Workfile.2" ShapeID="ole_rId12" DrawAspect="Content" ObjectID="_931112264" r:id="rId12"/>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FROM spillovers index for returns - estimated at the middle quantile (</w:t>
      </w:r>
      <w:r>
        <w:rPr>
          <w:b/>
          <w:sz w:val="24"/>
          <w:szCs w:val="24"/>
        </w:rPr>
        <w:t>τ</w:t>
      </w:r>
      <w:r>
        <w:rPr>
          <w:rFonts w:eastAsia="Times New Roman" w:cs="Times New Roman" w:ascii="Times New Roman" w:hAnsi="Times New Roman"/>
          <w:b/>
          <w:sz w:val="24"/>
          <w:szCs w:val="24"/>
        </w:rPr>
        <w:t>= 0.5)</w: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object>
          <v:shapetype id="_x0000_tole_rId14" coordsize="21600,21600" o:spt="ole_rId1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 type="_x0000_tole_rId14" style="width:514pt;height:329.6pt;mso-wrap-distance-right:0pt" filled="f" o:ole="">
            <v:imagedata r:id="rId15" o:title=""/>
          </v:shape>
          <o:OLEObject Type="Embed" ProgID="EViews.Workfile.2" ShapeID="ole_rId14" DrawAspect="Content" ObjectID="_574812231" r:id="rId14"/>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NET spillovers index for returns - estimated at the middle quantile (</w:t>
      </w:r>
      <w:r>
        <w:rPr>
          <w:b/>
          <w:sz w:val="24"/>
          <w:szCs w:val="24"/>
        </w:rPr>
        <w:t>τ</w:t>
      </w:r>
      <w:r>
        <w:rPr>
          <w:rFonts w:eastAsia="Times New Roman" w:cs="Times New Roman" w:ascii="Times New Roman" w:hAnsi="Times New Roman"/>
          <w:b/>
          <w:sz w:val="24"/>
          <w:szCs w:val="24"/>
        </w:rPr>
        <w:t>= 0.5)</w:t>
      </w:r>
    </w:p>
    <w:p>
      <w:pPr>
        <w:pStyle w:val="Normal1"/>
        <w:rPr/>
      </w:pPr>
      <w:r>
        <w:rPr/>
        <w:object>
          <v:shapetype id="_x0000_tole_rId16" coordsize="21600,21600" o:spt="ole_rId1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 type="_x0000_tole_rId16" style="width:513.55pt;height:329.2pt;mso-wrap-distance-right:0pt" filled="f" o:ole="">
            <v:imagedata r:id="rId17" o:title=""/>
          </v:shape>
          <o:OLEObject Type="Embed" ProgID="EViews.Workfile.2" ShapeID="ole_rId16" DrawAspect="Content" ObjectID="_1944060680" r:id="rId16"/>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 spillovers index for returns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18" coordsize="21600,21600" o:spt="ole_rId1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8" type="_x0000_tole_rId18" style="width:514pt;height:328.35pt;mso-wrap-distance-right:0pt" filled="f" o:ole="">
            <v:imagedata r:id="rId19" o:title=""/>
          </v:shape>
          <o:OLEObject Type="Embed" ProgID="EViews.Workfile.2" ShapeID="ole_rId18" DrawAspect="Content" ObjectID="_1806981092" r:id="rId18"/>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FROM spillovers index for returns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20" coordsize="21600,21600" o:spt="ole_rId2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0" type="_x0000_tole_rId20" style="width:514pt;height:328.35pt;mso-wrap-distance-right:0pt" filled="f" o:ole="">
            <v:imagedata r:id="rId21" o:title=""/>
          </v:shape>
          <o:OLEObject Type="Embed" ProgID="EViews.Workfile.2" ShapeID="ole_rId20" DrawAspect="Content" ObjectID="_2055074212" r:id="rId20"/>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NET spillovers index for returns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22" coordsize="21600,21600" o:spt="ole_rId2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2" type="_x0000_tole_rId22" style="width:514pt;height:327.95pt;mso-wrap-distance-right:0pt" filled="f" o:ole="">
            <v:imagedata r:id="rId23" o:title=""/>
          </v:shape>
          <o:OLEObject Type="Embed" ProgID="EViews.Workfile.2" ShapeID="ole_rId22" DrawAspect="Content" ObjectID="_572592466" r:id="rId22"/>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TO spillovers index for returns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24" coordsize="21600,21600" o:spt="ole_rId2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4" type="_x0000_tole_rId24" style="width:514pt;height:328.35pt;mso-wrap-distance-right:0pt" filled="f" o:ole="">
            <v:imagedata r:id="rId25" o:title=""/>
          </v:shape>
          <o:OLEObject Type="Embed" ProgID="EViews.Workfile.2" ShapeID="ole_rId24" DrawAspect="Content" ObjectID="_1072719443" r:id="rId24"/>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FROM spillovers index for returns - estimated at the upper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26" coordsize="21600,21600" o:spt="ole_rId2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6" type="_x0000_tole_rId26" style="width:514pt;height:328.35pt;mso-wrap-distance-right:0pt" filled="f" o:ole="">
            <v:imagedata r:id="rId27" o:title=""/>
          </v:shape>
          <o:OLEObject Type="Embed" ProgID="EViews.Workfile.2" ShapeID="ole_rId26" DrawAspect="Content" ObjectID="_1657438317" r:id="rId26"/>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NET spillovers index for returns - estimated at the upper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28" coordsize="21600,21600" o:spt="ole_rId2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28" type="_x0000_tole_rId28" style="width:514pt;height:327.95pt;mso-wrap-distance-right:0pt" filled="f" o:ole="">
            <v:imagedata r:id="rId29" o:title=""/>
          </v:shape>
          <o:OLEObject Type="Embed" ProgID="EViews.Workfile.2" ShapeID="ole_rId28" DrawAspect="Content" ObjectID="_653734604" r:id="rId28"/>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Total connectedness index for volatility - estimated at the middle quantile (</w:t>
      </w:r>
      <w:r>
        <w:rPr>
          <w:b/>
          <w:sz w:val="24"/>
          <w:szCs w:val="24"/>
        </w:rPr>
        <w:t>τ</w:t>
      </w:r>
      <w:r>
        <w:rPr>
          <w:rFonts w:eastAsia="Times New Roman" w:cs="Times New Roman" w:ascii="Times New Roman" w:hAnsi="Times New Roman"/>
          <w:b/>
          <w:sz w:val="24"/>
          <w:szCs w:val="24"/>
        </w:rPr>
        <w:t>= 0.5)</w:t>
      </w:r>
    </w:p>
    <w:p>
      <w:pPr>
        <w:pStyle w:val="Normal1"/>
        <w:rPr/>
      </w:pPr>
      <w:r>
        <w:rPr/>
        <w:object>
          <v:shapetype id="_x0000_tole_rId30" coordsize="21600,21600" o:spt="ole_rId3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0" type="_x0000_tole_rId30" style="width:427.4pt;height:228.05pt;mso-wrap-distance-right:0pt" filled="f" o:ole="">
            <v:imagedata r:id="rId31" o:title=""/>
          </v:shape>
          <o:OLEObject Type="Embed" ProgID="EViews.Workfile.2" ShapeID="ole_rId30" DrawAspect="Content" ObjectID="_1384721069" r:id="rId30"/>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Total connectedness index for volatility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32" coordsize="21600,21600" o:spt="ole_rId3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2" type="_x0000_tole_rId32" style="width:427.4pt;height:228.05pt;mso-wrap-distance-right:0pt" filled="f" o:ole="">
            <v:imagedata r:id="rId33" o:title=""/>
          </v:shape>
          <o:OLEObject Type="Embed" ProgID="EViews.Workfile.2" ShapeID="ole_rId32" DrawAspect="Content" ObjectID="_97643337" r:id="rId32"/>
        </w:object>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Total connectedness index for volatility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34" coordsize="21600,21600" o:spt="ole_rId3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4" type="_x0000_tole_rId34" style="width:427.4pt;height:228.05pt;mso-wrap-distance-right:0pt" filled="f" o:ole="">
            <v:imagedata r:id="rId35" o:title=""/>
          </v:shape>
          <o:OLEObject Type="Embed" ProgID="EViews.Workfile.2" ShapeID="ole_rId34" DrawAspect="Content" ObjectID="_1615695967" r:id="rId34"/>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TO spillovers index for volatility - estimated at the middle quantile (</w:t>
      </w:r>
      <w:r>
        <w:rPr>
          <w:b/>
          <w:sz w:val="24"/>
          <w:szCs w:val="24"/>
        </w:rPr>
        <w:t>τ</w:t>
      </w:r>
      <w:r>
        <w:rPr>
          <w:rFonts w:eastAsia="Times New Roman" w:cs="Times New Roman" w:ascii="Times New Roman" w:hAnsi="Times New Roman"/>
          <w:b/>
          <w:sz w:val="24"/>
          <w:szCs w:val="24"/>
        </w:rPr>
        <w:t>= 0.5)</w:t>
      </w:r>
    </w:p>
    <w:p>
      <w:pPr>
        <w:pStyle w:val="Normal1"/>
        <w:rPr/>
      </w:pPr>
      <w:r>
        <w:rPr/>
        <w:object>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514pt;height:328.35pt;mso-wrap-distance-right:0pt" filled="f" o:ole="">
            <v:imagedata r:id="rId37" o:title=""/>
          </v:shape>
          <o:OLEObject Type="Embed" ProgID="EViews.Workfile.2" ShapeID="ole_rId36" DrawAspect="Content" ObjectID="_574601" r:id="rId36"/>
        </w:object>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FROM spillovers index for volatility - estimated at the middle quantile (</w:t>
      </w:r>
      <w:r>
        <w:rPr>
          <w:b/>
          <w:sz w:val="24"/>
          <w:szCs w:val="24"/>
        </w:rPr>
        <w:t>τ</w:t>
      </w:r>
      <w:r>
        <w:rPr>
          <w:rFonts w:eastAsia="Times New Roman" w:cs="Times New Roman" w:ascii="Times New Roman" w:hAnsi="Times New Roman"/>
          <w:b/>
          <w:sz w:val="24"/>
          <w:szCs w:val="24"/>
        </w:rPr>
        <w:t>= 0.5)</w:t>
      </w:r>
    </w:p>
    <w:p>
      <w:pPr>
        <w:pStyle w:val="Normal1"/>
        <w:rPr/>
      </w:pPr>
      <w:r>
        <w:rPr/>
        <w:object>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514pt;height:328.35pt;mso-wrap-distance-right:0pt" filled="f" o:ole="">
            <v:imagedata r:id="rId39" o:title=""/>
          </v:shape>
          <o:OLEObject Type="Embed" ProgID="EViews.Workfile.2" ShapeID="ole_rId38" DrawAspect="Content" ObjectID="_2135123920" r:id="rId38"/>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NET spillovers index for volatility - estimated at the middle quantile (</w:t>
      </w:r>
      <w:r>
        <w:rPr>
          <w:b/>
          <w:sz w:val="24"/>
          <w:szCs w:val="24"/>
        </w:rPr>
        <w:t>τ</w:t>
      </w:r>
      <w:r>
        <w:rPr>
          <w:rFonts w:eastAsia="Times New Roman" w:cs="Times New Roman" w:ascii="Times New Roman" w:hAnsi="Times New Roman"/>
          <w:b/>
          <w:sz w:val="24"/>
          <w:szCs w:val="24"/>
        </w:rPr>
        <w:t>= 0.5)</w:t>
      </w:r>
    </w:p>
    <w:p>
      <w:pPr>
        <w:pStyle w:val="Normal1"/>
        <w:rPr>
          <w:rFonts w:ascii="Times New Roman" w:hAnsi="Times New Roman" w:eastAsia="Times New Roman" w:cs="Times New Roman"/>
          <w:b/>
          <w:b/>
          <w:sz w:val="24"/>
          <w:szCs w:val="24"/>
        </w:rPr>
      </w:pPr>
      <w:r>
        <w:rPr/>
        <w:object>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514pt;height:327.95pt;mso-wrap-distance-right:0pt" filled="f" o:ole="">
            <v:imagedata r:id="rId41" o:title=""/>
          </v:shape>
          <o:OLEObject Type="Embed" ProgID="EViews.Workfile.2" ShapeID="ole_rId40" DrawAspect="Content" ObjectID="_1921788104" r:id="rId40"/>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TO spillovers index for volatility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514pt;height:323.4pt;mso-wrap-distance-right:0pt" filled="f" o:ole="">
            <v:imagedata r:id="rId43" o:title=""/>
          </v:shape>
          <o:OLEObject Type="Embed" ProgID="EViews.Workfile.2" ShapeID="ole_rId42" DrawAspect="Content" ObjectID="_1935480316" r:id="rId42"/>
        </w:object>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FROM spillovers index for volatility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514pt;height:328.35pt;mso-wrap-distance-right:0pt" filled="f" o:ole="">
            <v:imagedata r:id="rId45" o:title=""/>
          </v:shape>
          <o:OLEObject Type="Embed" ProgID="EViews.Workfile.2" ShapeID="ole_rId44" DrawAspect="Content" ObjectID="_1023213478" r:id="rId44"/>
        </w:object>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rPr/>
      </w:pPr>
      <w:r>
        <w:rPr>
          <w:rFonts w:eastAsia="Times New Roman" w:cs="Times New Roman" w:ascii="Times New Roman" w:hAnsi="Times New Roman"/>
          <w:b/>
          <w:sz w:val="24"/>
          <w:szCs w:val="24"/>
        </w:rPr>
        <w:t>Figure . NET spillovers index for volatility - estimated at the upper quantile (</w:t>
      </w:r>
      <w:r>
        <w:rPr>
          <w:b/>
          <w:sz w:val="24"/>
          <w:szCs w:val="24"/>
        </w:rPr>
        <w:t>τ</w:t>
      </w:r>
      <w:r>
        <w:rPr>
          <w:rFonts w:eastAsia="Times New Roman" w:cs="Times New Roman" w:ascii="Times New Roman" w:hAnsi="Times New Roman"/>
          <w:b/>
          <w:sz w:val="24"/>
          <w:szCs w:val="24"/>
        </w:rPr>
        <w:t>= 0.95)</w:t>
      </w:r>
    </w:p>
    <w:p>
      <w:pPr>
        <w:pStyle w:val="Normal1"/>
        <w:rPr/>
      </w:pPr>
      <w:r>
        <w:rPr/>
        <w:object>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514pt;height:322.55pt;mso-wrap-distance-right:0pt" filled="f" o:ole="">
            <v:imagedata r:id="rId47" o:title=""/>
          </v:shape>
          <o:OLEObject Type="Embed" ProgID="EViews.Workfile.2" ShapeID="ole_rId46" DrawAspect="Content" ObjectID="_1097111201" r:id="rId46"/>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TO spillovers index for volatility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514pt;height:328.35pt;mso-wrap-distance-right:0pt" filled="f" o:ole="">
            <v:imagedata r:id="rId49" o:title=""/>
          </v:shape>
          <o:OLEObject Type="Embed" ProgID="EViews.Workfile.2" ShapeID="ole_rId48" DrawAspect="Content" ObjectID="_712672574" r:id="rId48"/>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FROM spillovers index for volatility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514pt;height:328.35pt;mso-wrap-distance-right:0pt" filled="f" o:ole="">
            <v:imagedata r:id="rId51" o:title=""/>
          </v:shape>
          <o:OLEObject Type="Embed" ProgID="EViews.Workfile.2" ShapeID="ole_rId50" DrawAspect="Content" ObjectID="_272508190" r:id="rId50"/>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Fonts w:eastAsia="Times New Roman" w:cs="Times New Roman" w:ascii="Times New Roman" w:hAnsi="Times New Roman"/>
          <w:b/>
          <w:sz w:val="24"/>
          <w:szCs w:val="24"/>
        </w:rPr>
        <w:t>Figure . NET spillovers index for volatility - estimated at the lower quantile (</w:t>
      </w:r>
      <w:r>
        <w:rPr>
          <w:b/>
          <w:sz w:val="24"/>
          <w:szCs w:val="24"/>
        </w:rPr>
        <w:t>τ</w:t>
      </w:r>
      <w:r>
        <w:rPr>
          <w:rFonts w:eastAsia="Times New Roman" w:cs="Times New Roman" w:ascii="Times New Roman" w:hAnsi="Times New Roman"/>
          <w:b/>
          <w:sz w:val="24"/>
          <w:szCs w:val="24"/>
        </w:rPr>
        <w:t>= 0.05)</w:t>
      </w:r>
    </w:p>
    <w:p>
      <w:pPr>
        <w:pStyle w:val="Normal1"/>
        <w:rPr/>
      </w:pPr>
      <w:r>
        <w:rPr/>
        <w:object>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513.55pt;height:329.2pt;mso-wrap-distance-right:0pt" filled="f" o:ole="">
            <v:imagedata r:id="rId53" o:title=""/>
          </v:shape>
          <o:OLEObject Type="Embed" ProgID="EViews.Workfile.2" ShapeID="ole_rId52" DrawAspect="Content" ObjectID="_694600137" r:id="rId52"/>
        </w:obje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Appendix A</w:t>
      </w:r>
    </w:p>
    <w:p>
      <w:pPr>
        <w:pStyle w:val="Normal1"/>
        <w:spacing w:lineRule="auto" w:line="360" w:before="280" w:after="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Table A.1. List of global defense and aerospace companies</w:t>
      </w:r>
    </w:p>
    <w:tbl>
      <w:tblPr>
        <w:tblStyle w:val="Table11"/>
        <w:tblW w:w="9360" w:type="dxa"/>
        <w:jc w:val="center"/>
        <w:tblInd w:w="0" w:type="dxa"/>
        <w:tblLayout w:type="fixed"/>
        <w:tblCellMar>
          <w:top w:w="0" w:type="dxa"/>
          <w:left w:w="108" w:type="dxa"/>
          <w:bottom w:w="0" w:type="dxa"/>
          <w:right w:w="108" w:type="dxa"/>
        </w:tblCellMar>
        <w:tblLook w:val="0400"/>
      </w:tblPr>
      <w:tblGrid>
        <w:gridCol w:w="1575"/>
        <w:gridCol w:w="3734"/>
        <w:gridCol w:w="2161"/>
        <w:gridCol w:w="1889"/>
      </w:tblGrid>
      <w:tr>
        <w:trPr>
          <w:trHeight w:val="269" w:hRule="atLeast"/>
        </w:trPr>
        <w:tc>
          <w:tcPr>
            <w:tcW w:w="1575"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b/>
                <w:b/>
                <w:color w:val="000000"/>
                <w:sz w:val="20"/>
                <w:szCs w:val="20"/>
              </w:rPr>
            </w:pPr>
            <w:r>
              <w:rPr>
                <w:rFonts w:eastAsia="Times New Roman" w:cs="Times New Roman" w:ascii="Times New Roman" w:hAnsi="Times New Roman"/>
                <w:b/>
                <w:color w:val="000000"/>
                <w:sz w:val="20"/>
                <w:szCs w:val="20"/>
              </w:rPr>
              <w:t>Identifier RIC</w:t>
            </w:r>
          </w:p>
        </w:tc>
        <w:tc>
          <w:tcPr>
            <w:tcW w:w="3734" w:type="dxa"/>
            <w:tcBorders>
              <w:top w:val="single" w:sz="4" w:space="0" w:color="000000"/>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b/>
                <w:b/>
                <w:color w:val="000000"/>
                <w:sz w:val="20"/>
                <w:szCs w:val="20"/>
              </w:rPr>
            </w:pPr>
            <w:r>
              <w:rPr>
                <w:rFonts w:eastAsia="Times New Roman" w:cs="Times New Roman" w:ascii="Times New Roman" w:hAnsi="Times New Roman"/>
                <w:b/>
                <w:color w:val="000000"/>
                <w:sz w:val="20"/>
                <w:szCs w:val="20"/>
              </w:rPr>
              <w:t>Company Name</w:t>
            </w:r>
          </w:p>
        </w:tc>
        <w:tc>
          <w:tcPr>
            <w:tcW w:w="2161" w:type="dxa"/>
            <w:tcBorders>
              <w:top w:val="single" w:sz="4" w:space="0" w:color="000000"/>
              <w:bottom w:val="single" w:sz="4" w:space="0" w:color="000000"/>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b/>
                <w:b/>
                <w:color w:val="000000"/>
                <w:sz w:val="20"/>
                <w:szCs w:val="20"/>
              </w:rPr>
            </w:pPr>
            <w:r>
              <w:rPr>
                <w:rFonts w:eastAsia="Times New Roman" w:cs="Times New Roman" w:ascii="Times New Roman" w:hAnsi="Times New Roman"/>
                <w:b/>
                <w:color w:val="000000"/>
                <w:sz w:val="20"/>
                <w:szCs w:val="20"/>
              </w:rPr>
              <w:t>Market Cap (USD)</w:t>
            </w:r>
          </w:p>
        </w:tc>
        <w:tc>
          <w:tcPr>
            <w:tcW w:w="1889" w:type="dxa"/>
            <w:tcBorders>
              <w:top w:val="single" w:sz="4" w:space="0" w:color="000000"/>
              <w:bottom w:val="single" w:sz="4" w:space="0" w:color="000000"/>
            </w:tcBorders>
          </w:tcPr>
          <w:p>
            <w:pPr>
              <w:pStyle w:val="Normal1"/>
              <w:widowControl w:val="false"/>
              <w:spacing w:lineRule="auto" w:line="240" w:before="0" w:after="0"/>
              <w:jc w:val="center"/>
              <w:rPr>
                <w:rFonts w:ascii="Times New Roman" w:hAnsi="Times New Roman" w:eastAsia="Times New Roman" w:cs="Times New Roman"/>
                <w:b/>
                <w:b/>
                <w:color w:val="000000"/>
                <w:sz w:val="20"/>
                <w:szCs w:val="20"/>
              </w:rPr>
            </w:pPr>
            <w:r>
              <w:rPr>
                <w:rFonts w:eastAsia="Times New Roman" w:cs="Times New Roman" w:ascii="Times New Roman" w:hAnsi="Times New Roman"/>
                <w:b/>
                <w:color w:val="000000"/>
                <w:sz w:val="20"/>
                <w:szCs w:val="20"/>
              </w:rPr>
              <w:t>Country</w:t>
            </w:r>
          </w:p>
        </w:tc>
      </w:tr>
      <w:tr>
        <w:trPr>
          <w:trHeight w:val="263" w:hRule="atLeast"/>
        </w:trPr>
        <w:tc>
          <w:tcPr>
            <w:tcW w:w="1575"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RTX.N</w:t>
            </w:r>
          </w:p>
        </w:tc>
        <w:tc>
          <w:tcPr>
            <w:tcW w:w="3734" w:type="dxa"/>
            <w:tcBorders>
              <w:top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Raytheon Technologies Corp</w:t>
            </w:r>
          </w:p>
        </w:tc>
        <w:tc>
          <w:tcPr>
            <w:tcW w:w="2161" w:type="dxa"/>
            <w:tcBorders>
              <w:top w:val="single" w:sz="4" w:space="0" w:color="000000"/>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146,531,979,614</w:t>
            </w:r>
          </w:p>
        </w:tc>
        <w:tc>
          <w:tcPr>
            <w:tcW w:w="1889" w:type="dxa"/>
            <w:tcBorders>
              <w:top w:val="single" w:sz="4" w:space="0" w:color="000000"/>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LMT.N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Lockheed Martin Corp</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126,945,196,089</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BA.N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Boeing Co</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98,626,070,245</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AIR.PA</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Airbus SE</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80,725,491,421</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France</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NOC.N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Northrop Grumman Corp</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74,608,919,355</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GD.N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General Dynamics Corp</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68,671,930,259</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LHX.N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L3harris Technologies Inc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52,270,661,495</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SAF.PA</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Safran SA</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44,491,097,467</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France</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TDG.N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TransDigm Group Inc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32,831,888,090</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BAES.L</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BAE Systems PLC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30,800,737,305</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UK</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TCFP.PA</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Thales SA</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26,768,225,374</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France</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600893.SS</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AECC Aviation Power Co Ltd</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18,774,820,321</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China</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HEI.N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HEICO Corp</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18,046,618,051</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600760.SS</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Avic Shenyang Aircraft Co Ltd</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15,837,867,867</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China</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TXT.N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Textron Inc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14,706,071,116</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HWM.N</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Howmet Aerospace Inc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13,580,896,080</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US</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000768.SZ</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Avic XiAn Aircraft Industry Group Co Ltd</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13,213,649,293</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China</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AM.PA</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Dassault Aviation SA</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11,958,644,778</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France</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MTXGn.DE</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MTU Aero Engines AG</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11,075,850,164</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Germany</w:t>
            </w:r>
          </w:p>
        </w:tc>
      </w:tr>
      <w:tr>
        <w:trPr>
          <w:trHeight w:val="263" w:hRule="atLeast"/>
        </w:trPr>
        <w:tc>
          <w:tcPr>
            <w:tcW w:w="1575"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RR.L</w:t>
            </w:r>
          </w:p>
        </w:tc>
        <w:tc>
          <w:tcPr>
            <w:tcW w:w="3734" w:type="dxa"/>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Rolls-Royce Holdings PLC</w:t>
            </w:r>
          </w:p>
        </w:tc>
        <w:tc>
          <w:tcPr>
            <w:tcW w:w="2161" w:type="dxa"/>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9,761,495,628</w:t>
            </w:r>
          </w:p>
        </w:tc>
        <w:tc>
          <w:tcPr>
            <w:tcW w:w="1889" w:type="dxa"/>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UK</w:t>
            </w:r>
          </w:p>
        </w:tc>
      </w:tr>
      <w:tr>
        <w:trPr>
          <w:trHeight w:val="263" w:hRule="atLeast"/>
        </w:trPr>
        <w:tc>
          <w:tcPr>
            <w:tcW w:w="1575"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STEG.SI</w:t>
            </w:r>
          </w:p>
        </w:tc>
        <w:tc>
          <w:tcPr>
            <w:tcW w:w="3734" w:type="dxa"/>
            <w:tcBorders>
              <w:bottom w:val="single" w:sz="4" w:space="0" w:color="000000"/>
            </w:tcBorders>
            <w:shd w:fill="auto" w:val="clear"/>
            <w:vAlign w:val="bottom"/>
          </w:tcPr>
          <w:p>
            <w:pPr>
              <w:pStyle w:val="Normal1"/>
              <w:widowControl w:val="false"/>
              <w:spacing w:lineRule="auto" w:line="240" w:before="0" w:after="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Singapore Technologies Engineering Ltd</w:t>
            </w:r>
          </w:p>
        </w:tc>
        <w:tc>
          <w:tcPr>
            <w:tcW w:w="2161" w:type="dxa"/>
            <w:tcBorders>
              <w:bottom w:val="single" w:sz="4" w:space="0" w:color="000000"/>
            </w:tcBorders>
            <w:shd w:fill="auto" w:val="clear"/>
            <w:vAlign w:val="bottom"/>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9,243,974,029</w:t>
            </w:r>
          </w:p>
        </w:tc>
        <w:tc>
          <w:tcPr>
            <w:tcW w:w="1889" w:type="dxa"/>
            <w:tcBorders>
              <w:bottom w:val="single" w:sz="4" w:space="0" w:color="000000"/>
            </w:tcBorders>
          </w:tcPr>
          <w:p>
            <w:pPr>
              <w:pStyle w:val="Normal1"/>
              <w:widowControl w:val="false"/>
              <w:spacing w:lineRule="auto" w:line="240" w:before="0" w:after="0"/>
              <w:jc w:val="center"/>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Singapore</w:t>
            </w:r>
          </w:p>
        </w:tc>
      </w:tr>
    </w:tbl>
    <w:p>
      <w:pPr>
        <w:pStyle w:val="Normal1"/>
        <w:spacing w:lineRule="auto" w:line="360" w:before="2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0"/>
        <w:jc w:val="center"/>
        <w:rPr>
          <w:rFonts w:ascii="Times New Roman" w:hAnsi="Times New Roman" w:eastAsia="Times New Roman" w:cs="Times New Roman"/>
          <w:b/>
          <w:b/>
          <w:sz w:val="24"/>
          <w:szCs w:val="24"/>
        </w:rPr>
      </w:pPr>
      <w:r>
        <w:rPr>
          <w:rFonts w:eastAsia="Times New Roman" w:cs="Times New Roman" w:ascii="Times New Roman" w:hAnsi="Times New Roman"/>
          <w:b/>
          <w:sz w:val="24"/>
          <w:szCs w:val="24"/>
        </w:rPr>
      </w:r>
    </w:p>
    <w:p>
      <w:pPr>
        <w:pStyle w:val="Normal1"/>
        <w:spacing w:lineRule="auto" w:line="360" w:before="280" w:after="280"/>
        <w:rPr>
          <w:rFonts w:ascii="Times New Roman" w:hAnsi="Times New Roman" w:eastAsia="Times New Roman" w:cs="Times New Roman"/>
          <w:b/>
          <w:b/>
          <w:sz w:val="24"/>
          <w:szCs w:val="24"/>
        </w:rPr>
      </w:pPr>
      <w:r>
        <w:rPr>
          <w:rFonts w:eastAsia="Times New Roman" w:cs="Times New Roman" w:ascii="Times New Roman" w:hAnsi="Times New Roman"/>
          <w:b/>
          <w:sz w:val="24"/>
          <w:szCs w:val="24"/>
        </w:rPr>
        <w:t>Figure A.1. Daily prices of the 21 global defense and aerospace companies</w:t>
      </w:r>
    </w:p>
    <w:p>
      <w:pPr>
        <w:pStyle w:val="Normal1"/>
        <w:spacing w:before="0" w:after="160"/>
        <w:jc w:val="center"/>
        <w:rPr>
          <w:rFonts w:ascii="Times New Roman" w:hAnsi="Times New Roman" w:eastAsia="Times New Roman" w:cs="Times New Roman"/>
          <w:sz w:val="24"/>
          <w:szCs w:val="24"/>
        </w:rPr>
      </w:pPr>
      <w:r>
        <w:rPr/>
        <w:object>
          <v:shapetype id="_x0000_tole_rId54" coordsize="21600,21600" o:spt="ole_rId5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4" type="_x0000_tole_rId54" style="width:511.1pt;height:322.95pt;mso-wrap-distance-right:0pt" filled="f" o:ole="">
            <v:imagedata r:id="rId55" o:title=""/>
          </v:shape>
          <o:OLEObject Type="Embed" ProgID="EViews.Workfile.2" ShapeID="ole_rId54" DrawAspect="Content" ObjectID="_1421593462" r:id="rId54"/>
        </w:object>
      </w:r>
    </w:p>
    <w:sectPr>
      <w:footnotePr>
        <w:numFmt w:val="decimal"/>
      </w:footnotePr>
      <w:type w:val="nextPage"/>
      <w:pgSz w:orient="landscape" w:w="15840" w:h="12240"/>
      <w:pgMar w:left="1440" w:right="1440" w:gutter="0" w:header="0" w:top="1440" w:footer="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p>
  </w:footnote>
  <w:footnote w:id="1" w:type="continuationSeparator">
    <w:p>
      <w:pPr>
        <w:rPr>
          <w:sz w:val="12"/>
        </w:rPr>
      </w:pPr>
      <w:r/>
    </w:p>
  </w:footnote>
  <w:footnote w:id="2">
    <w:p>
      <w:pPr>
        <w:pStyle w:val="Normal1"/>
        <w:keepNext w:val="false"/>
        <w:keepLines w:val="false"/>
        <w:pageBreakBefore w:val="false"/>
        <w:widowControl/>
        <w:pBdr/>
        <w:shd w:val="clear" w:fill="auto"/>
        <w:spacing w:lineRule="auto" w:line="240" w:before="0" w:after="0"/>
        <w:ind w:left="0" w:right="0" w:hanging="0"/>
        <w:jc w:val="left"/>
        <w:rPr>
          <w:rFonts w:ascii="Times New Roman" w:hAnsi="Times New Roman" w:eastAsia="Times New Roman" w:cs="Times New Roman"/>
          <w:b w:val="false"/>
          <w:b w:val="false"/>
          <w:i w:val="false"/>
          <w:i w:val="false"/>
          <w:caps w:val="false"/>
          <w:smallCaps w:val="false"/>
          <w:strike w:val="false"/>
          <w:dstrike w:val="false"/>
          <w:color w:val="000000"/>
          <w:position w:val="0"/>
          <w:sz w:val="20"/>
          <w:sz w:val="20"/>
          <w:szCs w:val="20"/>
          <w:u w:val="none"/>
          <w:shd w:fill="auto" w:val="clear"/>
          <w:vertAlign w:val="baseline"/>
        </w:rPr>
      </w:pPr>
      <w:r>
        <w:rPr>
          <w:rStyle w:val="FootnoteCharacters"/>
        </w:rPr>
        <w:footnoteRef/>
      </w:r>
      <w:r>
        <w:rPr>
          <w:rFonts w:eastAsia="Times New Roman" w:cs="Times New Roman" w:ascii="Times New Roman" w:hAnsi="Times New Roman"/>
          <w:b w:val="false"/>
          <w:i w:val="false"/>
          <w:caps w:val="false"/>
          <w:smallCaps w:val="false"/>
          <w:strike w:val="false"/>
          <w:dstrike w:val="false"/>
          <w:color w:val="000000"/>
          <w:position w:val="0"/>
          <w:sz w:val="20"/>
          <w:sz w:val="20"/>
          <w:szCs w:val="20"/>
          <w:u w:val="none"/>
          <w:shd w:fill="auto" w:val="clear"/>
          <w:vertAlign w:val="baseline"/>
        </w:rPr>
        <w:t xml:space="preserve"> </w:t>
      </w:r>
      <w:r>
        <w:rPr>
          <w:rFonts w:eastAsia="Times New Roman" w:cs="Times New Roman" w:ascii="Times New Roman" w:hAnsi="Times New Roman"/>
          <w:b w:val="false"/>
          <w:i w:val="false"/>
          <w:caps w:val="false"/>
          <w:smallCaps w:val="false"/>
          <w:strike w:val="false"/>
          <w:dstrike w:val="false"/>
          <w:color w:val="000000"/>
          <w:position w:val="0"/>
          <w:sz w:val="20"/>
          <w:sz w:val="20"/>
          <w:szCs w:val="20"/>
          <w:u w:val="none"/>
          <w:shd w:fill="auto" w:val="clear"/>
          <w:vertAlign w:val="baseline"/>
        </w:rPr>
        <w:t xml:space="preserve">This methodology has been used by Bouri et al. (2020), Chatziantoniou et al. (2021) and Saeed et al. (2021). </w:t>
      </w:r>
    </w:p>
  </w:footnote>
</w:footnotes>
</file>

<file path=word/settings.xml><?xml version="1.0" encoding="utf-8"?>
<w:settings xmlns:w="http://schemas.openxmlformats.org/wordprocessingml/2006/main">
  <w:zoom w:percent="120"/>
  <w:defaultTabStop w:val="720"/>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style w:type="paragraph" w:styleId="Normal" w:default="1">
    <w:name w:val="Normal"/>
    <w:qFormat/>
    <w:rsid w:val="00e25eb8"/>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80" w:after="120"/>
    </w:pPr>
    <w:rPr>
      <w:b/>
      <w:sz w:val="48"/>
      <w:szCs w:val="48"/>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unhideWhenUsed/>
    <w:qFormat/>
    <w:rPr/>
  </w:style>
  <w:style w:type="character" w:styleId="InternetLink">
    <w:name w:val="Hyperlink"/>
    <w:basedOn w:val="DefaultParagraphFont"/>
    <w:uiPriority w:val="99"/>
    <w:unhideWhenUsed/>
    <w:qFormat/>
    <w:rsid w:val="006d680e"/>
    <w:rPr>
      <w:color w:val="0563C1" w:themeColor="hyperlink"/>
      <w:u w:val="single"/>
    </w:rPr>
  </w:style>
  <w:style w:type="character" w:styleId="FootnoteTextChar" w:customStyle="1">
    <w:name w:val="Footnote Text Char"/>
    <w:basedOn w:val="DefaultParagraphFont"/>
    <w:link w:val="Footnote"/>
    <w:uiPriority w:val="99"/>
    <w:semiHidden/>
    <w:qFormat/>
    <w:rsid w:val="00f34b69"/>
    <w:rPr>
      <w:sz w:val="20"/>
      <w:szCs w:val="20"/>
    </w:rPr>
  </w:style>
  <w:style w:type="character" w:styleId="FootnoteCharacters">
    <w:name w:val="Footnote Characters"/>
    <w:basedOn w:val="DefaultParagraphFont"/>
    <w:uiPriority w:val="99"/>
    <w:semiHidden/>
    <w:unhideWhenUsed/>
    <w:qFormat/>
    <w:rsid w:val="00f34b69"/>
    <w:rPr>
      <w:vertAlign w:val="superscript"/>
    </w:rPr>
  </w:style>
  <w:style w:type="character" w:styleId="FootnoteAnchor">
    <w:name w:val="Footnote Anchor"/>
    <w:rPr>
      <w:vertAlign w:val="superscript"/>
    </w:rPr>
  </w:style>
  <w:style w:type="character" w:styleId="Annotationreference">
    <w:name w:val="annotation reference"/>
    <w:basedOn w:val="DefaultParagraphFont"/>
    <w:uiPriority w:val="99"/>
    <w:semiHidden/>
    <w:unhideWhenUsed/>
    <w:qFormat/>
    <w:rsid w:val="00651bce"/>
    <w:rPr>
      <w:sz w:val="16"/>
      <w:szCs w:val="16"/>
    </w:rPr>
  </w:style>
  <w:style w:type="character" w:styleId="CommentTextChar" w:customStyle="1">
    <w:name w:val="Comment Text Char"/>
    <w:basedOn w:val="DefaultParagraphFont"/>
    <w:link w:val="Annotationtext"/>
    <w:uiPriority w:val="99"/>
    <w:semiHidden/>
    <w:qFormat/>
    <w:rsid w:val="00651bce"/>
    <w:rPr>
      <w:sz w:val="20"/>
      <w:szCs w:val="20"/>
    </w:rPr>
  </w:style>
  <w:style w:type="character" w:styleId="CommentSubjectChar" w:customStyle="1">
    <w:name w:val="Comment Subject Char"/>
    <w:basedOn w:val="CommentTextChar"/>
    <w:link w:val="Annotationsubject"/>
    <w:uiPriority w:val="99"/>
    <w:semiHidden/>
    <w:qFormat/>
    <w:rsid w:val="00651bce"/>
    <w:rPr>
      <w:b/>
      <w:bCs/>
      <w:sz w:val="20"/>
      <w:szCs w:val="20"/>
    </w:rPr>
  </w:style>
  <w:style w:type="character" w:styleId="BalloonTextChar" w:customStyle="1">
    <w:name w:val="Balloon Text Char"/>
    <w:basedOn w:val="DefaultParagraphFont"/>
    <w:link w:val="BalloonText"/>
    <w:uiPriority w:val="99"/>
    <w:semiHidden/>
    <w:qFormat/>
    <w:rsid w:val="00651bce"/>
    <w:rPr>
      <w:rFonts w:ascii="Segoe UI" w:hAnsi="Segoe UI" w:cs="Segoe UI"/>
      <w:sz w:val="18"/>
      <w:szCs w:val="18"/>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lang w:val="zxx" w:eastAsia="zxx" w:bidi="zxx"/>
    </w:rPr>
  </w:style>
  <w:style w:type="paragraph" w:styleId="Normal1" w:default="1">
    <w:name w:val="LO-normal"/>
    <w:qFormat/>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ListParagraph">
    <w:name w:val="List Paragraph"/>
    <w:basedOn w:val="Normal1"/>
    <w:uiPriority w:val="34"/>
    <w:qFormat/>
    <w:rsid w:val="002e3ff8"/>
    <w:pPr>
      <w:spacing w:before="0" w:after="160"/>
      <w:ind w:left="720" w:hanging="0"/>
      <w:contextualSpacing/>
    </w:pPr>
    <w:rPr/>
  </w:style>
  <w:style w:type="paragraph" w:styleId="Footnote">
    <w:name w:val="Footnote Text"/>
    <w:basedOn w:val="Normal1"/>
    <w:link w:val="FootnoteTextChar"/>
    <w:uiPriority w:val="99"/>
    <w:semiHidden/>
    <w:unhideWhenUsed/>
    <w:rsid w:val="00f34b69"/>
    <w:pPr>
      <w:spacing w:lineRule="auto" w:line="240" w:before="0" w:after="0"/>
    </w:pPr>
    <w:rPr>
      <w:sz w:val="20"/>
      <w:szCs w:val="20"/>
    </w:rPr>
  </w:style>
  <w:style w:type="paragraph" w:styleId="Annotationtext">
    <w:name w:val="annotation text"/>
    <w:basedOn w:val="Normal1"/>
    <w:link w:val="CommentTextChar"/>
    <w:uiPriority w:val="99"/>
    <w:semiHidden/>
    <w:unhideWhenUsed/>
    <w:qFormat/>
    <w:rsid w:val="00651bce"/>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651bce"/>
    <w:pPr/>
    <w:rPr>
      <w:b/>
      <w:bCs/>
    </w:rPr>
  </w:style>
  <w:style w:type="paragraph" w:styleId="BalloonText">
    <w:name w:val="Balloon Text"/>
    <w:basedOn w:val="Normal1"/>
    <w:link w:val="BalloonTextChar"/>
    <w:uiPriority w:val="99"/>
    <w:semiHidden/>
    <w:unhideWhenUsed/>
    <w:qFormat/>
    <w:rsid w:val="00651bce"/>
    <w:pPr>
      <w:spacing w:lineRule="auto" w:line="240" w:before="0" w:after="0"/>
    </w:pPr>
    <w:rPr>
      <w:rFonts w:ascii="Segoe UI" w:hAnsi="Segoe UI" w:cs="Segoe UI"/>
      <w:sz w:val="18"/>
      <w:szCs w:val="18"/>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oleObject" Target="embeddings/oleObject1.bin"/><Relationship Id="rId3" Type="http://schemas.openxmlformats.org/officeDocument/2006/relationships/image" Target="media/image1.wmf"/><Relationship Id="rId4" Type="http://schemas.openxmlformats.org/officeDocument/2006/relationships/oleObject" Target="embeddings/oleObject2.bin"/><Relationship Id="rId5" Type="http://schemas.openxmlformats.org/officeDocument/2006/relationships/image" Target="media/image2.wmf"/><Relationship Id="rId6" Type="http://schemas.openxmlformats.org/officeDocument/2006/relationships/oleObject" Target="embeddings/oleObject3.bin"/><Relationship Id="rId7" Type="http://schemas.openxmlformats.org/officeDocument/2006/relationships/image" Target="media/image3.wmf"/><Relationship Id="rId8" Type="http://schemas.openxmlformats.org/officeDocument/2006/relationships/oleObject" Target="embeddings/oleObject4.bin"/><Relationship Id="rId9" Type="http://schemas.openxmlformats.org/officeDocument/2006/relationships/image" Target="media/image4.wmf"/><Relationship Id="rId10" Type="http://schemas.openxmlformats.org/officeDocument/2006/relationships/oleObject" Target="embeddings/oleObject5.bin"/><Relationship Id="rId11" Type="http://schemas.openxmlformats.org/officeDocument/2006/relationships/image" Target="media/image5.wmf"/><Relationship Id="rId12" Type="http://schemas.openxmlformats.org/officeDocument/2006/relationships/oleObject" Target="embeddings/oleObject6.bin"/><Relationship Id="rId13" Type="http://schemas.openxmlformats.org/officeDocument/2006/relationships/image" Target="media/image6.wmf"/><Relationship Id="rId14" Type="http://schemas.openxmlformats.org/officeDocument/2006/relationships/oleObject" Target="embeddings/oleObject7.bin"/><Relationship Id="rId15" Type="http://schemas.openxmlformats.org/officeDocument/2006/relationships/image" Target="media/image7.wmf"/><Relationship Id="rId16" Type="http://schemas.openxmlformats.org/officeDocument/2006/relationships/oleObject" Target="embeddings/oleObject8.bin"/><Relationship Id="rId17" Type="http://schemas.openxmlformats.org/officeDocument/2006/relationships/image" Target="media/image8.wmf"/><Relationship Id="rId18" Type="http://schemas.openxmlformats.org/officeDocument/2006/relationships/oleObject" Target="embeddings/oleObject9.bin"/><Relationship Id="rId19" Type="http://schemas.openxmlformats.org/officeDocument/2006/relationships/image" Target="media/image9.wmf"/><Relationship Id="rId20" Type="http://schemas.openxmlformats.org/officeDocument/2006/relationships/oleObject" Target="embeddings/oleObject10.bin"/><Relationship Id="rId21" Type="http://schemas.openxmlformats.org/officeDocument/2006/relationships/image" Target="media/image10.wmf"/><Relationship Id="rId22" Type="http://schemas.openxmlformats.org/officeDocument/2006/relationships/oleObject" Target="embeddings/oleObject11.bin"/><Relationship Id="rId23" Type="http://schemas.openxmlformats.org/officeDocument/2006/relationships/image" Target="media/image11.wmf"/><Relationship Id="rId24" Type="http://schemas.openxmlformats.org/officeDocument/2006/relationships/oleObject" Target="embeddings/oleObject12.bin"/><Relationship Id="rId25" Type="http://schemas.openxmlformats.org/officeDocument/2006/relationships/image" Target="media/image12.wmf"/><Relationship Id="rId26" Type="http://schemas.openxmlformats.org/officeDocument/2006/relationships/oleObject" Target="embeddings/oleObject13.bin"/><Relationship Id="rId27" Type="http://schemas.openxmlformats.org/officeDocument/2006/relationships/image" Target="media/image13.wmf"/><Relationship Id="rId28" Type="http://schemas.openxmlformats.org/officeDocument/2006/relationships/oleObject" Target="embeddings/oleObject14.bin"/><Relationship Id="rId29" Type="http://schemas.openxmlformats.org/officeDocument/2006/relationships/image" Target="media/image14.wmf"/><Relationship Id="rId30" Type="http://schemas.openxmlformats.org/officeDocument/2006/relationships/oleObject" Target="embeddings/oleObject15.bin"/><Relationship Id="rId31" Type="http://schemas.openxmlformats.org/officeDocument/2006/relationships/image" Target="media/image15.wmf"/><Relationship Id="rId32" Type="http://schemas.openxmlformats.org/officeDocument/2006/relationships/oleObject" Target="embeddings/oleObject16.bin"/><Relationship Id="rId33" Type="http://schemas.openxmlformats.org/officeDocument/2006/relationships/image" Target="media/image16.wmf"/><Relationship Id="rId34" Type="http://schemas.openxmlformats.org/officeDocument/2006/relationships/oleObject" Target="embeddings/oleObject17.bin"/><Relationship Id="rId35" Type="http://schemas.openxmlformats.org/officeDocument/2006/relationships/image" Target="media/image17.wmf"/><Relationship Id="rId36" Type="http://schemas.openxmlformats.org/officeDocument/2006/relationships/oleObject" Target="embeddings/oleObject18.bin"/><Relationship Id="rId37" Type="http://schemas.openxmlformats.org/officeDocument/2006/relationships/image" Target="media/image18.wmf"/><Relationship Id="rId38" Type="http://schemas.openxmlformats.org/officeDocument/2006/relationships/oleObject" Target="embeddings/oleObject19.bin"/><Relationship Id="rId39" Type="http://schemas.openxmlformats.org/officeDocument/2006/relationships/image" Target="media/image19.wmf"/><Relationship Id="rId40" Type="http://schemas.openxmlformats.org/officeDocument/2006/relationships/oleObject" Target="embeddings/oleObject20.bin"/><Relationship Id="rId41" Type="http://schemas.openxmlformats.org/officeDocument/2006/relationships/image" Target="media/image20.wmf"/><Relationship Id="rId42" Type="http://schemas.openxmlformats.org/officeDocument/2006/relationships/oleObject" Target="embeddings/oleObject21.bin"/><Relationship Id="rId43" Type="http://schemas.openxmlformats.org/officeDocument/2006/relationships/image" Target="media/image21.wmf"/><Relationship Id="rId44" Type="http://schemas.openxmlformats.org/officeDocument/2006/relationships/oleObject" Target="embeddings/oleObject22.bin"/><Relationship Id="rId45" Type="http://schemas.openxmlformats.org/officeDocument/2006/relationships/image" Target="media/image22.wmf"/><Relationship Id="rId46" Type="http://schemas.openxmlformats.org/officeDocument/2006/relationships/oleObject" Target="embeddings/oleObject23.bin"/><Relationship Id="rId47" Type="http://schemas.openxmlformats.org/officeDocument/2006/relationships/image" Target="media/image23.wmf"/><Relationship Id="rId48" Type="http://schemas.openxmlformats.org/officeDocument/2006/relationships/oleObject" Target="embeddings/oleObject24.bin"/><Relationship Id="rId49" Type="http://schemas.openxmlformats.org/officeDocument/2006/relationships/image" Target="media/image24.wmf"/><Relationship Id="rId50" Type="http://schemas.openxmlformats.org/officeDocument/2006/relationships/oleObject" Target="embeddings/oleObject25.bin"/><Relationship Id="rId51" Type="http://schemas.openxmlformats.org/officeDocument/2006/relationships/image" Target="media/image25.wmf"/><Relationship Id="rId52" Type="http://schemas.openxmlformats.org/officeDocument/2006/relationships/oleObject" Target="embeddings/oleObject26.bin"/><Relationship Id="rId53" Type="http://schemas.openxmlformats.org/officeDocument/2006/relationships/image" Target="media/image26.wmf"/><Relationship Id="rId54" Type="http://schemas.openxmlformats.org/officeDocument/2006/relationships/oleObject" Target="embeddings/oleObject27.bin"/><Relationship Id="rId55" Type="http://schemas.openxmlformats.org/officeDocument/2006/relationships/image" Target="media/image27.wmf"/><Relationship Id="rId56" Type="http://schemas.openxmlformats.org/officeDocument/2006/relationships/footnotes" Target="footnotes.xml"/><Relationship Id="rId57" Type="http://schemas.openxmlformats.org/officeDocument/2006/relationships/fontTable" Target="fontTable.xml"/><Relationship Id="rId58" Type="http://schemas.openxmlformats.org/officeDocument/2006/relationships/settings" Target="settings.xml"/><Relationship Id="rId59" Type="http://schemas.openxmlformats.org/officeDocument/2006/relationships/theme" Target="theme/theme1.xml"/><Relationship Id="rId6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j/7wMLQMYNFQfjj5LWClc/Te+vFw==">AMUW2mVHlSDHqFdGE06aggQbY1JuCqZXB2zSKctocJPVwgX3dM85znsE9iGOGfylrx1T15GNnFcQ3f6+w4+AV2VLZ9ajosqYu6fIlM58WAuN1NEkAQ9o2cGU6bUpGox0wdNpqpmP43fc77E5MPvnum0Z/tOGA17/fUZuRK9iFxSpn/S6sPy9fGcUmrFtUrMWa7QzqyUsywS1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0</TotalTime>
  <Application>LibreOffice/7.3.7.2$Linux_X86_64 LibreOffice_project/30$Build-2</Application>
  <AppVersion>15.0000</AppVersion>
  <Pages>14</Pages>
  <Words>6555</Words>
  <Characters>36288</Characters>
  <CharactersWithSpaces>39149</CharactersWithSpaces>
  <Paragraphs>4680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2022-07-31T07:03:00Z</dcterms:created>
  <dc:creator>Elie El Bouri</dc:creator>
  <dc:description/>
  <dc:language>en-GB</dc:language>
  <cp:lastModifiedBy/>
  <cp:revision>0</cp:revision>
  <dc:subject/>
  <dc:title/>
</cp:coreProperties>
</file>